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11BAA23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11BAA23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12DD400D" w14:textId="03CBE7F7" w:rsidR="0088622E" w:rsidRDefault="00C12EEA" w:rsidP="0088622E">
      <w:pPr>
        <w:rPr>
          <w:rFonts w:ascii="Calibri" w:hAnsi="Calibri" w:cs="Calibri"/>
          <w:color w:val="000000"/>
          <w:shd w:val="clear" w:color="auto" w:fill="FFFFFF"/>
        </w:rPr>
      </w:pPr>
      <w:r w:rsidRPr="00C9629D">
        <w:rPr>
          <w:rFonts w:ascii="Times New Roman" w:eastAsia="Times New Roman" w:hAnsi="Times New Roman" w:cs="Times New Roman"/>
          <w:b/>
          <w:sz w:val="28"/>
          <w:szCs w:val="28"/>
        </w:rPr>
        <w:t xml:space="preserve">Week Ending </w:t>
      </w:r>
      <w:r w:rsidR="00003D24" w:rsidRPr="00C9629D">
        <w:rPr>
          <w:rFonts w:ascii="Times New Roman" w:eastAsia="Times New Roman" w:hAnsi="Times New Roman" w:cs="Times New Roman"/>
          <w:b/>
          <w:sz w:val="28"/>
          <w:szCs w:val="28"/>
        </w:rPr>
        <w:t xml:space="preserve">June </w:t>
      </w:r>
      <w:r w:rsidR="001F193F" w:rsidRPr="00C9629D">
        <w:rPr>
          <w:rFonts w:ascii="Times New Roman" w:eastAsia="Times New Roman" w:hAnsi="Times New Roman" w:cs="Times New Roman"/>
          <w:b/>
          <w:sz w:val="28"/>
          <w:szCs w:val="28"/>
        </w:rPr>
        <w:t>27</w:t>
      </w:r>
      <w:r w:rsidR="000B5529" w:rsidRPr="00C9629D">
        <w:rPr>
          <w:rFonts w:ascii="Times New Roman" w:eastAsia="Times New Roman" w:hAnsi="Times New Roman" w:cs="Times New Roman"/>
          <w:b/>
          <w:sz w:val="28"/>
          <w:szCs w:val="28"/>
        </w:rPr>
        <w:t>,</w:t>
      </w:r>
      <w:r w:rsidRPr="00C9629D">
        <w:rPr>
          <w:rFonts w:ascii="Times New Roman" w:eastAsia="Times New Roman" w:hAnsi="Times New Roman" w:cs="Times New Roman"/>
          <w:b/>
          <w:sz w:val="28"/>
          <w:szCs w:val="28"/>
        </w:rPr>
        <w:t xml:space="preserve"> 2020</w:t>
      </w:r>
      <w:r w:rsidR="00237C3D" w:rsidRPr="00C9629D">
        <w:rPr>
          <w:rFonts w:ascii="Times New Roman" w:eastAsia="Times New Roman" w:hAnsi="Times New Roman" w:cs="Times New Roman"/>
          <w:b/>
          <w:sz w:val="28"/>
          <w:szCs w:val="28"/>
        </w:rPr>
        <w:t xml:space="preserve"> – </w:t>
      </w:r>
      <w:r w:rsidR="001F193F" w:rsidRPr="00C9629D">
        <w:rPr>
          <w:rFonts w:ascii="Times New Roman" w:eastAsia="Times New Roman" w:hAnsi="Times New Roman" w:cs="Times New Roman"/>
          <w:b/>
          <w:sz w:val="28"/>
          <w:szCs w:val="28"/>
        </w:rPr>
        <w:t xml:space="preserve"> </w:t>
      </w:r>
      <w:r w:rsidR="006A0C2E" w:rsidRPr="00C9629D">
        <w:rPr>
          <w:rFonts w:ascii="Times New Roman" w:eastAsia="Times New Roman" w:hAnsi="Times New Roman" w:cs="Times New Roman"/>
          <w:b/>
          <w:sz w:val="28"/>
          <w:szCs w:val="28"/>
        </w:rPr>
        <w:t xml:space="preserve">New Weekly </w:t>
      </w:r>
      <w:r w:rsidR="00C9629D" w:rsidRPr="00C9629D">
        <w:rPr>
          <w:rFonts w:ascii="Times New Roman" w:eastAsia="Times New Roman" w:hAnsi="Times New Roman" w:cs="Times New Roman"/>
          <w:b/>
          <w:sz w:val="28"/>
          <w:szCs w:val="28"/>
        </w:rPr>
        <w:t>Po</w:t>
      </w:r>
      <w:r w:rsidR="006A0C2E" w:rsidRPr="00C9629D">
        <w:rPr>
          <w:rFonts w:ascii="Times New Roman" w:eastAsia="Times New Roman" w:hAnsi="Times New Roman" w:cs="Times New Roman"/>
          <w:b/>
          <w:sz w:val="28"/>
          <w:szCs w:val="28"/>
        </w:rPr>
        <w:t>stings</w:t>
      </w:r>
      <w:r w:rsidR="00C9629D" w:rsidRPr="00C9629D">
        <w:rPr>
          <w:rFonts w:ascii="Times New Roman" w:eastAsia="Times New Roman" w:hAnsi="Times New Roman" w:cs="Times New Roman"/>
          <w:b/>
          <w:sz w:val="28"/>
          <w:szCs w:val="28"/>
        </w:rPr>
        <w:t xml:space="preserve"> More Than Double a Mid-May Low</w:t>
      </w:r>
      <w:r w:rsidR="00736645" w:rsidRPr="00C9629D">
        <w:rPr>
          <w:rFonts w:ascii="Times New Roman" w:eastAsia="Times New Roman" w:hAnsi="Times New Roman" w:cs="Times New Roman"/>
          <w:b/>
          <w:sz w:val="28"/>
          <w:szCs w:val="28"/>
        </w:rPr>
        <w:br/>
      </w:r>
      <w:r w:rsidR="00BD50D9" w:rsidRPr="00C9629D">
        <w:rPr>
          <w:rFonts w:ascii="Times New Roman" w:eastAsia="Times New Roman" w:hAnsi="Times New Roman" w:cs="Times New Roman"/>
          <w:sz w:val="28"/>
          <w:szCs w:val="28"/>
        </w:rPr>
        <w:br/>
      </w:r>
      <w:r w:rsidR="002409CC" w:rsidRPr="008B0045">
        <w:rPr>
          <w:rFonts w:ascii="Calibri" w:hAnsi="Calibri" w:cs="Calibri"/>
          <w:color w:val="000000"/>
          <w:shd w:val="clear" w:color="auto" w:fill="FFFFFF"/>
        </w:rPr>
        <w:t xml:space="preserve">WETHERSFIELD, </w:t>
      </w:r>
      <w:r w:rsidR="007A388F">
        <w:rPr>
          <w:rFonts w:ascii="Calibri" w:hAnsi="Calibri" w:cs="Calibri"/>
          <w:color w:val="000000"/>
          <w:shd w:val="clear" w:color="auto" w:fill="FFFFFF"/>
        </w:rPr>
        <w:t>J</w:t>
      </w:r>
      <w:r w:rsidR="001F193F">
        <w:rPr>
          <w:rFonts w:ascii="Calibri" w:hAnsi="Calibri" w:cs="Calibri"/>
          <w:color w:val="000000"/>
          <w:shd w:val="clear" w:color="auto" w:fill="FFFFFF"/>
        </w:rPr>
        <w:t>uly 2</w:t>
      </w:r>
      <w:r w:rsidR="001F193F" w:rsidRPr="001F193F">
        <w:rPr>
          <w:rFonts w:ascii="Calibri" w:hAnsi="Calibri" w:cs="Calibri"/>
          <w:color w:val="000000"/>
          <w:shd w:val="clear" w:color="auto" w:fill="FFFFFF"/>
          <w:vertAlign w:val="superscript"/>
        </w:rPr>
        <w:t>nd</w:t>
      </w:r>
      <w:r w:rsidR="001F193F">
        <w:rPr>
          <w:rFonts w:ascii="Calibri" w:hAnsi="Calibri" w:cs="Calibri"/>
          <w:color w:val="000000"/>
          <w:shd w:val="clear" w:color="auto" w:fill="FFFFFF"/>
        </w:rPr>
        <w:t>,</w:t>
      </w:r>
      <w:r w:rsidRPr="008B0045">
        <w:rPr>
          <w:rFonts w:ascii="Calibri" w:hAnsi="Calibri" w:cs="Calibri"/>
          <w:color w:val="000000"/>
          <w:shd w:val="clear" w:color="auto" w:fill="FFFFFF"/>
        </w:rPr>
        <w:t xml:space="preserve">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003D24">
        <w:rPr>
          <w:rFonts w:cstheme="minorHAnsi"/>
          <w:color w:val="000000"/>
          <w:shd w:val="clear" w:color="auto" w:fill="FFFFFF"/>
        </w:rPr>
        <w:t xml:space="preserve">June </w:t>
      </w:r>
      <w:r w:rsidR="001F193F">
        <w:rPr>
          <w:rFonts w:cstheme="minorHAnsi"/>
          <w:color w:val="000000"/>
          <w:shd w:val="clear" w:color="auto" w:fill="FFFFFF"/>
        </w:rPr>
        <w:t>27,</w:t>
      </w:r>
      <w:r w:rsidR="000D7D50">
        <w:rPr>
          <w:rFonts w:cstheme="minorHAnsi"/>
          <w:color w:val="000000"/>
          <w:shd w:val="clear" w:color="auto" w:fill="FFFFFF"/>
        </w:rPr>
        <w:t xml:space="preserve">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2C0B45">
        <w:rPr>
          <w:rFonts w:cstheme="minorHAnsi"/>
          <w:color w:val="000000"/>
          <w:shd w:val="clear" w:color="auto" w:fill="FFFFFF"/>
        </w:rPr>
        <w:t>5,778</w:t>
      </w:r>
      <w:r w:rsidR="00F628B3">
        <w:rPr>
          <w:rFonts w:cstheme="minorHAnsi"/>
          <w:color w:val="000000"/>
          <w:shd w:val="clear" w:color="auto" w:fill="FFFFFF"/>
        </w:rPr>
        <w:t xml:space="preserve"> </w:t>
      </w:r>
      <w:r w:rsidR="00237C3D">
        <w:rPr>
          <w:rFonts w:cstheme="minorHAnsi"/>
          <w:color w:val="000000"/>
          <w:shd w:val="clear" w:color="auto" w:fill="FFFFFF"/>
        </w:rPr>
        <w:t>new postings</w:t>
      </w:r>
      <w:r w:rsidR="000D7D50">
        <w:rPr>
          <w:rFonts w:cstheme="minorHAnsi"/>
          <w:color w:val="000000"/>
          <w:shd w:val="clear" w:color="auto" w:fill="FFFFFF"/>
        </w:rPr>
        <w:t>.</w:t>
      </w:r>
      <w:r w:rsidR="00A54D63">
        <w:rPr>
          <w:rFonts w:cstheme="minorHAnsi"/>
          <w:color w:val="000000"/>
          <w:shd w:val="clear" w:color="auto" w:fill="FFFFFF"/>
        </w:rPr>
        <w:t xml:space="preserve">  New postings are up 10% from a week ago and up 18% over 4 weeks. </w:t>
      </w:r>
      <w:r w:rsidR="00597C35">
        <w:rPr>
          <w:rFonts w:cstheme="minorHAnsi"/>
          <w:color w:val="000000"/>
          <w:shd w:val="clear" w:color="auto" w:fill="FFFFFF"/>
        </w:rPr>
        <w:t xml:space="preserve"> This</w:t>
      </w:r>
      <w:r w:rsidR="00237C3D">
        <w:rPr>
          <w:rFonts w:cstheme="minorHAnsi"/>
          <w:color w:val="000000"/>
          <w:shd w:val="clear" w:color="auto" w:fill="FFFFFF"/>
        </w:rPr>
        <w:t xml:space="preserve"> one</w:t>
      </w:r>
      <w:r w:rsidR="00D675E4">
        <w:rPr>
          <w:rFonts w:cstheme="minorHAnsi"/>
          <w:color w:val="000000"/>
          <w:shd w:val="clear" w:color="auto" w:fill="FFFFFF"/>
        </w:rPr>
        <w:t>-week</w:t>
      </w:r>
      <w:r w:rsidR="00597C35">
        <w:rPr>
          <w:rFonts w:cstheme="minorHAnsi"/>
          <w:color w:val="000000"/>
          <w:shd w:val="clear" w:color="auto" w:fill="FFFFFF"/>
        </w:rPr>
        <w:t xml:space="preserve"> top line </w:t>
      </w:r>
      <w:r w:rsidR="00D675E4">
        <w:rPr>
          <w:rFonts w:cstheme="minorHAnsi"/>
          <w:color w:val="000000"/>
          <w:shd w:val="clear" w:color="auto" w:fill="FFFFFF"/>
        </w:rPr>
        <w:t>in</w:t>
      </w:r>
      <w:r w:rsidR="00EC0329">
        <w:rPr>
          <w:rFonts w:cstheme="minorHAnsi"/>
          <w:color w:val="000000"/>
          <w:shd w:val="clear" w:color="auto" w:fill="FFFFFF"/>
        </w:rPr>
        <w:t>crease</w:t>
      </w:r>
      <w:r w:rsidR="00597C35">
        <w:rPr>
          <w:rFonts w:cstheme="minorHAnsi"/>
          <w:color w:val="000000"/>
          <w:shd w:val="clear" w:color="auto" w:fill="FFFFFF"/>
        </w:rPr>
        <w:t xml:space="preserve"> was driven by </w:t>
      </w:r>
      <w:r w:rsidR="002827DF">
        <w:rPr>
          <w:rFonts w:cstheme="minorHAnsi"/>
          <w:color w:val="000000"/>
          <w:shd w:val="clear" w:color="auto" w:fill="FFFFFF"/>
        </w:rPr>
        <w:t xml:space="preserve">Accommodation &amp; Food Service (+188 new postings or +56%), Retail Trade (+143 new postings or 23%) and Transportation </w:t>
      </w:r>
      <w:r w:rsidR="0095746D">
        <w:rPr>
          <w:rFonts w:cstheme="minorHAnsi"/>
          <w:color w:val="000000"/>
          <w:shd w:val="clear" w:color="auto" w:fill="FFFFFF"/>
        </w:rPr>
        <w:t>&amp;</w:t>
      </w:r>
      <w:r w:rsidR="002827DF">
        <w:rPr>
          <w:rFonts w:cstheme="minorHAnsi"/>
          <w:color w:val="000000"/>
          <w:shd w:val="clear" w:color="auto" w:fill="FFFFFF"/>
        </w:rPr>
        <w:t xml:space="preserve"> Warehousing (+122 new postings or 105%).  </w:t>
      </w:r>
      <w:r w:rsidR="00D85328">
        <w:rPr>
          <w:rFonts w:cstheme="minorHAnsi"/>
          <w:color w:val="000000"/>
          <w:shd w:val="clear" w:color="auto" w:fill="FFFFFF"/>
        </w:rPr>
        <w:t>I</w:t>
      </w:r>
      <w:r w:rsidR="00237C3D">
        <w:rPr>
          <w:rFonts w:cstheme="minorHAnsi"/>
          <w:color w:val="000000"/>
          <w:shd w:val="clear" w:color="auto" w:fill="FFFFFF"/>
        </w:rPr>
        <w:t>ndustries with the largest one</w:t>
      </w:r>
      <w:r w:rsidR="00146D43">
        <w:rPr>
          <w:rFonts w:cstheme="minorHAnsi"/>
          <w:color w:val="000000"/>
          <w:shd w:val="clear" w:color="auto" w:fill="FFFFFF"/>
        </w:rPr>
        <w:t xml:space="preserve">-week </w:t>
      </w:r>
      <w:r w:rsidR="002810F5">
        <w:rPr>
          <w:rFonts w:cstheme="minorHAnsi"/>
          <w:color w:val="000000"/>
          <w:shd w:val="clear" w:color="auto" w:fill="FFFFFF"/>
        </w:rPr>
        <w:t>de</w:t>
      </w:r>
      <w:r w:rsidR="00146D43">
        <w:rPr>
          <w:rFonts w:cstheme="minorHAnsi"/>
          <w:color w:val="000000"/>
          <w:shd w:val="clear" w:color="auto" w:fill="FFFFFF"/>
        </w:rPr>
        <w:t>creases were</w:t>
      </w:r>
      <w:r w:rsidR="0095746D">
        <w:rPr>
          <w:rFonts w:cstheme="minorHAnsi"/>
          <w:color w:val="000000"/>
          <w:shd w:val="clear" w:color="auto" w:fill="FFFFFF"/>
        </w:rPr>
        <w:t xml:space="preserve"> Professional, Scientific, &amp;Technical </w:t>
      </w:r>
      <w:proofErr w:type="gramStart"/>
      <w:r w:rsidR="0095746D">
        <w:rPr>
          <w:rFonts w:cstheme="minorHAnsi"/>
          <w:color w:val="000000"/>
          <w:shd w:val="clear" w:color="auto" w:fill="FFFFFF"/>
        </w:rPr>
        <w:t>Services(</w:t>
      </w:r>
      <w:proofErr w:type="gramEnd"/>
      <w:r w:rsidR="0095746D">
        <w:rPr>
          <w:rFonts w:cstheme="minorHAnsi"/>
          <w:color w:val="000000"/>
          <w:shd w:val="clear" w:color="auto" w:fill="FFFFFF"/>
        </w:rPr>
        <w:t>-109 new postings or -33%) and Finance &amp; Insurance (-23 new postings or 6%)</w:t>
      </w:r>
      <w:r w:rsidR="00146D43">
        <w:rPr>
          <w:rFonts w:cstheme="minorHAnsi"/>
          <w:color w:val="000000"/>
          <w:shd w:val="clear" w:color="auto" w:fill="FFFFFF"/>
        </w:rPr>
        <w:t>.</w:t>
      </w:r>
      <w:r w:rsidR="00A54D63">
        <w:rPr>
          <w:rFonts w:cstheme="minorHAnsi"/>
          <w:color w:val="000000"/>
          <w:shd w:val="clear" w:color="auto" w:fill="FFFFFF"/>
        </w:rPr>
        <w:t xml:space="preserve">  This recent level is more than double the 2020 low of 2,793 ads which occurred during the week ending May 16</w:t>
      </w:r>
      <w:r w:rsidR="00A54D63" w:rsidRPr="00A54D63">
        <w:rPr>
          <w:rFonts w:cstheme="minorHAnsi"/>
          <w:color w:val="000000"/>
          <w:shd w:val="clear" w:color="auto" w:fill="FFFFFF"/>
          <w:vertAlign w:val="superscript"/>
        </w:rPr>
        <w:t>th</w:t>
      </w:r>
      <w:r w:rsidR="00A54D63">
        <w:rPr>
          <w:rFonts w:cstheme="minorHAnsi"/>
          <w:color w:val="000000"/>
          <w:shd w:val="clear" w:color="auto" w:fill="FFFFFF"/>
        </w:rPr>
        <w:t xml:space="preserve">, 2020. </w:t>
      </w:r>
      <w:r w:rsidR="000B7555">
        <w:rPr>
          <w:rFonts w:cstheme="minorHAnsi"/>
          <w:color w:val="000000"/>
          <w:shd w:val="clear" w:color="auto" w:fill="FFFFFF"/>
        </w:rPr>
        <w:t xml:space="preserve">  </w:t>
      </w:r>
      <w:r w:rsidR="002810F5">
        <w:rPr>
          <w:rFonts w:cstheme="minorHAnsi"/>
          <w:color w:val="000000"/>
          <w:shd w:val="clear" w:color="auto" w:fill="FFFFFF"/>
        </w:rPr>
        <w:br/>
      </w:r>
      <w:r w:rsidR="000D7D50">
        <w:rPr>
          <w:rFonts w:eastAsia="Times New Roman" w:cstheme="minorHAnsi"/>
        </w:rPr>
        <w:br/>
      </w:r>
      <w:r w:rsidR="00F6039D">
        <w:rPr>
          <w:noProof/>
        </w:rPr>
        <w:drawing>
          <wp:inline distT="0" distB="0" distL="0" distR="0" wp14:anchorId="239B4E76" wp14:editId="181DC9BB">
            <wp:extent cx="6765925" cy="2774315"/>
            <wp:effectExtent l="0" t="0" r="15875" b="6985"/>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D7D50">
        <w:rPr>
          <w:rFonts w:eastAsia="Times New Roman" w:cstheme="minorHAnsi"/>
        </w:rPr>
        <w:br/>
      </w:r>
    </w:p>
    <w:p w14:paraId="5A8CA9DE" w14:textId="188FE268" w:rsidR="00543012" w:rsidRDefault="00543012" w:rsidP="0088622E">
      <w:pPr>
        <w:rPr>
          <w:rFonts w:ascii="Calibri" w:hAnsi="Calibri" w:cs="Calibri"/>
          <w:color w:val="000000"/>
          <w:shd w:val="clear" w:color="auto" w:fill="FFFFFF"/>
        </w:rPr>
      </w:pPr>
      <w:r w:rsidRPr="00543012">
        <w:rPr>
          <w:rFonts w:ascii="Calibri" w:hAnsi="Calibri" w:cs="Calibri"/>
          <w:b/>
          <w:color w:val="000000"/>
          <w:shd w:val="clear" w:color="auto" w:fill="FFFFFF"/>
        </w:rPr>
        <w:t>Industries</w:t>
      </w:r>
      <w:r>
        <w:rPr>
          <w:rFonts w:ascii="Calibri" w:hAnsi="Calibri" w:cs="Calibri"/>
          <w:color w:val="000000"/>
          <w:shd w:val="clear" w:color="auto" w:fill="FFFFFF"/>
        </w:rPr>
        <w:t xml:space="preserve"> with the most new postings include Health &amp; Social Assistance, Retail Trade, and </w:t>
      </w:r>
      <w:r w:rsidR="0065318A">
        <w:rPr>
          <w:rFonts w:ascii="Calibri" w:hAnsi="Calibri" w:cs="Calibri"/>
          <w:color w:val="000000"/>
          <w:shd w:val="clear" w:color="auto" w:fill="FFFFFF"/>
        </w:rPr>
        <w:t>Accommodation &amp; Food Service.</w:t>
      </w:r>
    </w:p>
    <w:p w14:paraId="33476C52" w14:textId="46D37632" w:rsidR="00543012" w:rsidRDefault="00DB1461" w:rsidP="0088622E">
      <w:pPr>
        <w:rPr>
          <w:rFonts w:ascii="Calibri" w:hAnsi="Calibri" w:cs="Calibri"/>
          <w:color w:val="000000"/>
          <w:shd w:val="clear" w:color="auto" w:fill="FFFFFF"/>
        </w:rPr>
      </w:pPr>
      <w:r>
        <w:rPr>
          <w:rFonts w:ascii="Calibri" w:hAnsi="Calibri" w:cs="Calibri"/>
          <w:b/>
          <w:color w:val="000000"/>
          <w:shd w:val="clear" w:color="auto" w:fill="FFFFFF"/>
        </w:rPr>
        <w:t xml:space="preserve">Occupations </w:t>
      </w:r>
      <w:r>
        <w:rPr>
          <w:rFonts w:ascii="Calibri" w:hAnsi="Calibri" w:cs="Calibri"/>
          <w:color w:val="000000"/>
          <w:shd w:val="clear" w:color="auto" w:fill="FFFFFF"/>
        </w:rPr>
        <w:t xml:space="preserve">with the most new postings include </w:t>
      </w:r>
      <w:r w:rsidR="0065318A">
        <w:rPr>
          <w:rFonts w:ascii="Calibri" w:hAnsi="Calibri" w:cs="Calibri"/>
          <w:color w:val="000000"/>
          <w:shd w:val="clear" w:color="auto" w:fill="FFFFFF"/>
        </w:rPr>
        <w:t>Retail Salespersons</w:t>
      </w:r>
      <w:r>
        <w:rPr>
          <w:rFonts w:ascii="Calibri" w:hAnsi="Calibri" w:cs="Calibri"/>
          <w:color w:val="000000"/>
          <w:shd w:val="clear" w:color="auto" w:fill="FFFFFF"/>
        </w:rPr>
        <w:t xml:space="preserve">, </w:t>
      </w:r>
      <w:r w:rsidR="00686CEC">
        <w:rPr>
          <w:rFonts w:ascii="Calibri" w:hAnsi="Calibri" w:cs="Calibri"/>
          <w:color w:val="000000"/>
          <w:shd w:val="clear" w:color="auto" w:fill="FFFFFF"/>
        </w:rPr>
        <w:t>Laborers and Freight, Stock, and Material Movers</w:t>
      </w:r>
      <w:r w:rsidR="0065318A">
        <w:rPr>
          <w:rFonts w:ascii="Calibri" w:hAnsi="Calibri" w:cs="Calibri"/>
          <w:color w:val="000000"/>
          <w:shd w:val="clear" w:color="auto" w:fill="FFFFFF"/>
        </w:rPr>
        <w:t>,</w:t>
      </w:r>
      <w:r w:rsidR="00686CEC">
        <w:rPr>
          <w:rFonts w:ascii="Calibri" w:hAnsi="Calibri" w:cs="Calibri"/>
          <w:color w:val="000000"/>
          <w:shd w:val="clear" w:color="auto" w:fill="FFFFFF"/>
        </w:rPr>
        <w:t xml:space="preserve"> and </w:t>
      </w:r>
      <w:r w:rsidR="0065318A" w:rsidRPr="0065318A">
        <w:rPr>
          <w:rFonts w:ascii="Calibri" w:hAnsi="Calibri" w:cs="Calibri"/>
          <w:color w:val="000000"/>
          <w:shd w:val="clear" w:color="auto" w:fill="FFFFFF"/>
        </w:rPr>
        <w:t>Customer Service Representatives</w:t>
      </w:r>
      <w:r w:rsidR="00686CEC">
        <w:rPr>
          <w:rFonts w:ascii="Calibri" w:hAnsi="Calibri" w:cs="Calibri"/>
          <w:color w:val="000000"/>
          <w:shd w:val="clear" w:color="auto" w:fill="FFFFFF"/>
        </w:rPr>
        <w:t>.</w:t>
      </w:r>
    </w:p>
    <w:p w14:paraId="6EFFC9F6" w14:textId="5BD2FEDE" w:rsidR="00DB1461" w:rsidRPr="00DB1461" w:rsidRDefault="00DB1461" w:rsidP="0088622E">
      <w:pPr>
        <w:rPr>
          <w:rFonts w:ascii="Calibri" w:hAnsi="Calibri" w:cs="Calibri"/>
          <w:color w:val="000000"/>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 xml:space="preserve">with the most new postings include </w:t>
      </w:r>
      <w:r w:rsidR="002C0B45">
        <w:rPr>
          <w:rFonts w:ascii="Calibri" w:hAnsi="Calibri" w:cs="Calibri"/>
          <w:color w:val="000000"/>
          <w:shd w:val="clear" w:color="auto" w:fill="FFFFFF"/>
        </w:rPr>
        <w:t xml:space="preserve">Amazon, </w:t>
      </w:r>
      <w:r w:rsidR="00686CEC">
        <w:rPr>
          <w:rFonts w:ascii="Calibri" w:hAnsi="Calibri" w:cs="Calibri"/>
          <w:color w:val="000000"/>
          <w:shd w:val="clear" w:color="auto" w:fill="FFFFFF"/>
        </w:rPr>
        <w:t>Hartford Healthcare</w:t>
      </w:r>
      <w:r w:rsidR="00003D24">
        <w:rPr>
          <w:rFonts w:ascii="Calibri" w:hAnsi="Calibri" w:cs="Calibri"/>
          <w:color w:val="000000"/>
          <w:shd w:val="clear" w:color="auto" w:fill="FFFFFF"/>
        </w:rPr>
        <w:t>,</w:t>
      </w:r>
      <w:r w:rsidR="002C0B45">
        <w:rPr>
          <w:rFonts w:ascii="Calibri" w:hAnsi="Calibri" w:cs="Calibri"/>
          <w:color w:val="000000"/>
          <w:shd w:val="clear" w:color="auto" w:fill="FFFFFF"/>
        </w:rPr>
        <w:t xml:space="preserve"> </w:t>
      </w:r>
      <w:proofErr w:type="gramStart"/>
      <w:r w:rsidR="002C0B45">
        <w:rPr>
          <w:rFonts w:ascii="Calibri" w:hAnsi="Calibri" w:cs="Calibri"/>
          <w:color w:val="000000"/>
          <w:shd w:val="clear" w:color="auto" w:fill="FFFFFF"/>
        </w:rPr>
        <w:t>United</w:t>
      </w:r>
      <w:proofErr w:type="gramEnd"/>
      <w:r w:rsidR="002C0B45">
        <w:rPr>
          <w:rFonts w:ascii="Calibri" w:hAnsi="Calibri" w:cs="Calibri"/>
          <w:color w:val="000000"/>
          <w:shd w:val="clear" w:color="auto" w:fill="FFFFFF"/>
        </w:rPr>
        <w:t xml:space="preserve"> States Xpress Enterprises</w:t>
      </w:r>
      <w:r w:rsidR="00003D24">
        <w:rPr>
          <w:rFonts w:ascii="Calibri" w:hAnsi="Calibri" w:cs="Calibri"/>
          <w:color w:val="000000"/>
          <w:shd w:val="clear" w:color="auto" w:fill="FFFFFF"/>
        </w:rPr>
        <w:t>.</w:t>
      </w:r>
    </w:p>
    <w:p w14:paraId="00B58E16" w14:textId="77777777" w:rsidR="00543012" w:rsidRDefault="00543012">
      <w:pPr>
        <w:rPr>
          <w:rFonts w:ascii="Calibri" w:hAnsi="Calibri" w:cs="Calibri"/>
          <w:b/>
          <w:color w:val="000000"/>
          <w:sz w:val="28"/>
          <w:szCs w:val="28"/>
          <w:shd w:val="clear" w:color="auto" w:fill="FFFFFF"/>
        </w:rPr>
      </w:pPr>
      <w:r>
        <w:rPr>
          <w:rFonts w:ascii="Calibri" w:hAnsi="Calibri" w:cs="Calibri"/>
          <w:b/>
          <w:color w:val="000000"/>
          <w:sz w:val="28"/>
          <w:szCs w:val="28"/>
          <w:shd w:val="clear" w:color="auto" w:fill="FFFFFF"/>
        </w:rPr>
        <w:br w:type="page"/>
      </w:r>
    </w:p>
    <w:p w14:paraId="3005E6CE" w14:textId="371CCE0E"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 xml:space="preserve">s </w:t>
      </w:r>
      <w:r w:rsidR="007910F0">
        <w:rPr>
          <w:rFonts w:eastAsia="Times New Roman" w:cstheme="minorHAnsi"/>
          <w:b/>
          <w:sz w:val="28"/>
          <w:szCs w:val="28"/>
        </w:rPr>
        <w:t>where</w:t>
      </w:r>
    </w:p>
    <w:p w14:paraId="71315F94" w14:textId="662F5605" w:rsidR="0088622E" w:rsidRDefault="00180E58" w:rsidP="0088622E">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2810F5">
        <w:rPr>
          <w:rFonts w:eastAsia="Times New Roman" w:cstheme="minorHAnsi"/>
        </w:rPr>
        <w:t>1,</w:t>
      </w:r>
      <w:r w:rsidR="00686CEC">
        <w:rPr>
          <w:rFonts w:eastAsia="Times New Roman" w:cstheme="minorHAnsi"/>
        </w:rPr>
        <w:t>739</w:t>
      </w:r>
      <w:r w:rsidR="00237C3D">
        <w:rPr>
          <w:rFonts w:eastAsia="Times New Roman" w:cstheme="minorHAnsi"/>
        </w:rPr>
        <w:t xml:space="preserve"> new posting</w:t>
      </w:r>
      <w:r w:rsidRPr="0088622E">
        <w:rPr>
          <w:rFonts w:eastAsia="Times New Roman" w:cstheme="minorHAnsi"/>
        </w:rPr>
        <w:t xml:space="preserve">s, </w:t>
      </w:r>
      <w:r w:rsidR="002810F5">
        <w:rPr>
          <w:rFonts w:eastAsia="Times New Roman" w:cstheme="minorHAnsi"/>
        </w:rPr>
        <w:t>+</w:t>
      </w:r>
      <w:r w:rsidR="00C46B59">
        <w:rPr>
          <w:rFonts w:eastAsia="Times New Roman" w:cstheme="minorHAnsi"/>
        </w:rPr>
        <w:t>34</w:t>
      </w:r>
      <w:r w:rsidRPr="0088622E">
        <w:rPr>
          <w:rFonts w:eastAsia="Times New Roman" w:cstheme="minorHAnsi"/>
        </w:rPr>
        <w:t>%</w:t>
      </w:r>
      <w:r w:rsidR="00152514">
        <w:rPr>
          <w:rFonts w:eastAsia="Times New Roman" w:cstheme="minorHAnsi"/>
        </w:rPr>
        <w:t xml:space="preserve"> over the week</w:t>
      </w:r>
      <w:r w:rsidRPr="0088622E">
        <w:rPr>
          <w:rFonts w:eastAsia="Times New Roman" w:cstheme="minorHAnsi"/>
        </w:rPr>
        <w:t>)</w:t>
      </w:r>
    </w:p>
    <w:p w14:paraId="635FEDE8" w14:textId="5532ADBD" w:rsidR="0088622E" w:rsidRDefault="00152514" w:rsidP="0088622E">
      <w:pPr>
        <w:pStyle w:val="ListParagraph"/>
        <w:numPr>
          <w:ilvl w:val="0"/>
          <w:numId w:val="1"/>
        </w:numPr>
        <w:rPr>
          <w:rFonts w:eastAsia="Times New Roman" w:cstheme="minorHAnsi"/>
        </w:rPr>
      </w:pPr>
      <w:r>
        <w:rPr>
          <w:rFonts w:eastAsia="Times New Roman" w:cstheme="minorHAnsi"/>
          <w:b/>
          <w:bCs/>
        </w:rPr>
        <w:t>Retail Trade</w:t>
      </w:r>
      <w:r w:rsidR="0088622E">
        <w:rPr>
          <w:rFonts w:eastAsia="Times New Roman" w:cstheme="minorHAnsi"/>
        </w:rPr>
        <w:t xml:space="preserve"> (</w:t>
      </w:r>
      <w:r w:rsidR="00686CEC">
        <w:rPr>
          <w:rFonts w:eastAsia="Times New Roman" w:cstheme="minorHAnsi"/>
        </w:rPr>
        <w:t>792</w:t>
      </w:r>
      <w:r w:rsidR="00237C3D">
        <w:rPr>
          <w:rFonts w:eastAsia="Times New Roman" w:cstheme="minorHAnsi"/>
        </w:rPr>
        <w:t xml:space="preserve"> new posting</w:t>
      </w:r>
      <w:r w:rsidR="0088622E">
        <w:rPr>
          <w:rFonts w:eastAsia="Times New Roman" w:cstheme="minorHAnsi"/>
        </w:rPr>
        <w:t xml:space="preserve">s, </w:t>
      </w:r>
      <w:r w:rsidR="002810F5">
        <w:rPr>
          <w:rFonts w:eastAsia="Times New Roman" w:cstheme="minorHAnsi"/>
        </w:rPr>
        <w:t>+</w:t>
      </w:r>
      <w:r w:rsidR="00686CEC">
        <w:rPr>
          <w:rFonts w:eastAsia="Times New Roman" w:cstheme="minorHAnsi"/>
        </w:rPr>
        <w:t>38</w:t>
      </w:r>
      <w:r w:rsidR="0088622E">
        <w:rPr>
          <w:rFonts w:eastAsia="Times New Roman" w:cstheme="minorHAnsi"/>
        </w:rPr>
        <w:t>%)</w:t>
      </w:r>
    </w:p>
    <w:p w14:paraId="1B9BC61F" w14:textId="3A0209FD" w:rsidR="0088622E" w:rsidRDefault="00C8458E" w:rsidP="0088622E">
      <w:pPr>
        <w:pStyle w:val="ListParagraph"/>
        <w:numPr>
          <w:ilvl w:val="0"/>
          <w:numId w:val="1"/>
        </w:numPr>
        <w:rPr>
          <w:rFonts w:eastAsia="Times New Roman" w:cstheme="minorHAnsi"/>
        </w:rPr>
      </w:pPr>
      <w:r>
        <w:rPr>
          <w:rFonts w:eastAsia="Times New Roman" w:cstheme="minorHAnsi"/>
          <w:b/>
          <w:bCs/>
        </w:rPr>
        <w:t>Finance and Insurance</w:t>
      </w:r>
      <w:r w:rsidR="00180E58" w:rsidRPr="0088622E">
        <w:rPr>
          <w:rFonts w:eastAsia="Times New Roman" w:cstheme="minorHAnsi"/>
        </w:rPr>
        <w:t xml:space="preserve"> (</w:t>
      </w:r>
      <w:r w:rsidR="00686CEC">
        <w:rPr>
          <w:rFonts w:eastAsia="Times New Roman" w:cstheme="minorHAnsi"/>
        </w:rPr>
        <w:t>438</w:t>
      </w:r>
      <w:r w:rsidR="00237C3D">
        <w:rPr>
          <w:rFonts w:eastAsia="Times New Roman" w:cstheme="minorHAnsi"/>
        </w:rPr>
        <w:t xml:space="preserve"> new posting</w:t>
      </w:r>
      <w:r w:rsidR="00180E58" w:rsidRPr="0088622E">
        <w:rPr>
          <w:rFonts w:eastAsia="Times New Roman" w:cstheme="minorHAnsi"/>
        </w:rPr>
        <w:t>s,</w:t>
      </w:r>
      <w:r w:rsidR="00152514">
        <w:rPr>
          <w:rFonts w:eastAsia="Times New Roman" w:cstheme="minorHAnsi"/>
        </w:rPr>
        <w:t xml:space="preserve"> </w:t>
      </w:r>
      <w:r w:rsidR="00736BB3">
        <w:rPr>
          <w:rFonts w:eastAsia="Times New Roman" w:cstheme="minorHAnsi"/>
        </w:rPr>
        <w:t>+</w:t>
      </w:r>
      <w:r w:rsidR="00686CEC">
        <w:rPr>
          <w:rFonts w:eastAsia="Times New Roman" w:cstheme="minorHAnsi"/>
        </w:rPr>
        <w:t>11</w:t>
      </w:r>
      <w:r w:rsidR="00180E58" w:rsidRPr="0088622E">
        <w:rPr>
          <w:rFonts w:eastAsia="Times New Roman" w:cstheme="minorHAnsi"/>
        </w:rPr>
        <w:t>%)</w:t>
      </w:r>
    </w:p>
    <w:p w14:paraId="2336A768" w14:textId="4E1ABC18" w:rsidR="00686CEC" w:rsidRDefault="00686CEC" w:rsidP="00B219BB">
      <w:r w:rsidRPr="00686CEC">
        <w:t xml:space="preserve"> </w:t>
      </w:r>
      <w:r w:rsidR="00C77024" w:rsidRPr="00C77024">
        <w:t xml:space="preserve"> </w:t>
      </w:r>
      <w:r w:rsidR="002827DF" w:rsidRPr="002827DF">
        <w:rPr>
          <w:noProof/>
        </w:rPr>
        <w:drawing>
          <wp:inline distT="0" distB="0" distL="0" distR="0" wp14:anchorId="14904D49" wp14:editId="495B4960">
            <wp:extent cx="6847840" cy="4378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378325"/>
                    </a:xfrm>
                    <a:prstGeom prst="rect">
                      <a:avLst/>
                    </a:prstGeom>
                    <a:noFill/>
                    <a:ln>
                      <a:noFill/>
                    </a:ln>
                  </pic:spPr>
                </pic:pic>
              </a:graphicData>
            </a:graphic>
          </wp:inline>
        </w:drawing>
      </w:r>
    </w:p>
    <w:p w14:paraId="73AC04ED" w14:textId="06EF041E" w:rsidR="001A6B33" w:rsidRDefault="00D851EF">
      <w:r w:rsidRPr="00B219BB">
        <w:rPr>
          <w:rFonts w:ascii="Calibri" w:hAnsi="Calibri" w:cs="Calibri"/>
          <w:color w:val="000000"/>
          <w:shd w:val="clear" w:color="auto" w:fill="FFFFFF"/>
        </w:rPr>
        <w:t>1</w:t>
      </w:r>
      <w:r w:rsidR="00C73EEE">
        <w:rPr>
          <w:rFonts w:ascii="Calibri" w:hAnsi="Calibri" w:cs="Calibri"/>
          <w:color w:val="000000"/>
          <w:shd w:val="clear" w:color="auto" w:fill="FFFFFF"/>
        </w:rPr>
        <w:t>4</w:t>
      </w:r>
      <w:r w:rsidR="00237C3D">
        <w:rPr>
          <w:rFonts w:ascii="Calibri" w:hAnsi="Calibri" w:cs="Calibri"/>
          <w:color w:val="000000"/>
          <w:shd w:val="clear" w:color="auto" w:fill="FFFFFF"/>
        </w:rPr>
        <w:t xml:space="preserve"> sectors had job posting</w:t>
      </w:r>
      <w:r w:rsidR="00597C35">
        <w:rPr>
          <w:rFonts w:ascii="Calibri" w:hAnsi="Calibri" w:cs="Calibri"/>
          <w:color w:val="000000"/>
          <w:shd w:val="clear" w:color="auto" w:fill="FFFFFF"/>
        </w:rPr>
        <w:t xml:space="preserve"> </w:t>
      </w:r>
      <w:r w:rsidR="008F3AE9">
        <w:rPr>
          <w:rFonts w:ascii="Calibri" w:hAnsi="Calibri" w:cs="Calibri"/>
          <w:color w:val="000000"/>
          <w:shd w:val="clear" w:color="auto" w:fill="FFFFFF"/>
        </w:rPr>
        <w:t>in</w:t>
      </w:r>
      <w:r w:rsidRPr="00B219BB">
        <w:rPr>
          <w:rFonts w:ascii="Calibri" w:hAnsi="Calibri" w:cs="Calibri"/>
          <w:color w:val="000000"/>
          <w:shd w:val="clear" w:color="auto" w:fill="FFFFFF"/>
        </w:rPr>
        <w:t>creases over the week</w:t>
      </w:r>
      <w:r w:rsidR="00BB1B4D">
        <w:rPr>
          <w:rFonts w:ascii="Calibri" w:hAnsi="Calibri" w:cs="Calibri"/>
          <w:color w:val="000000"/>
          <w:shd w:val="clear" w:color="auto" w:fill="FFFFFF"/>
        </w:rPr>
        <w:t xml:space="preserve">, one was unchanged, and </w:t>
      </w:r>
      <w:r w:rsidR="00952F93">
        <w:rPr>
          <w:rFonts w:ascii="Calibri" w:hAnsi="Calibri" w:cs="Calibri"/>
          <w:color w:val="000000"/>
          <w:shd w:val="clear" w:color="auto" w:fill="FFFFFF"/>
        </w:rPr>
        <w:t>5</w:t>
      </w:r>
      <w:r w:rsidR="00462BF0">
        <w:rPr>
          <w:rFonts w:ascii="Calibri" w:hAnsi="Calibri" w:cs="Calibri"/>
          <w:color w:val="000000"/>
          <w:shd w:val="clear" w:color="auto" w:fill="FFFFFF"/>
        </w:rPr>
        <w:t xml:space="preserve"> se</w:t>
      </w:r>
      <w:r w:rsidRPr="00B219BB">
        <w:rPr>
          <w:rFonts w:ascii="Calibri" w:hAnsi="Calibri" w:cs="Calibri"/>
          <w:color w:val="000000"/>
          <w:shd w:val="clear" w:color="auto" w:fill="FFFFFF"/>
        </w:rPr>
        <w:t xml:space="preserve">ctors had </w:t>
      </w:r>
      <w:r w:rsidR="008F3AE9">
        <w:rPr>
          <w:rFonts w:ascii="Calibri" w:hAnsi="Calibri" w:cs="Calibri"/>
          <w:color w:val="000000"/>
          <w:shd w:val="clear" w:color="auto" w:fill="FFFFFF"/>
        </w:rPr>
        <w:t>de</w:t>
      </w:r>
      <w:r w:rsidRPr="00B219BB">
        <w:rPr>
          <w:rFonts w:ascii="Calibri" w:hAnsi="Calibri" w:cs="Calibri"/>
          <w:color w:val="000000"/>
          <w:shd w:val="clear" w:color="auto" w:fill="FFFFFF"/>
        </w:rPr>
        <w:t xml:space="preserve">creases.  </w:t>
      </w:r>
      <w:r w:rsidR="00736BB3">
        <w:rPr>
          <w:rFonts w:ascii="Calibri" w:hAnsi="Calibri" w:cs="Calibri"/>
          <w:color w:val="000000"/>
          <w:shd w:val="clear" w:color="auto" w:fill="FFFFFF"/>
        </w:rPr>
        <w:t xml:space="preserve">Some of the </w:t>
      </w:r>
      <w:r w:rsidRPr="00B219BB">
        <w:rPr>
          <w:rFonts w:ascii="Calibri" w:hAnsi="Calibri" w:cs="Calibri"/>
          <w:color w:val="000000"/>
          <w:shd w:val="clear" w:color="auto" w:fill="FFFFFF"/>
        </w:rPr>
        <w:t xml:space="preserve">largest </w:t>
      </w:r>
      <w:r w:rsidR="003157B6">
        <w:rPr>
          <w:rFonts w:ascii="Calibri" w:hAnsi="Calibri" w:cs="Calibri"/>
          <w:color w:val="000000"/>
          <w:shd w:val="clear" w:color="auto" w:fill="FFFFFF"/>
        </w:rPr>
        <w:t xml:space="preserve">percent </w:t>
      </w:r>
      <w:r w:rsidR="008F3AE9">
        <w:rPr>
          <w:rFonts w:ascii="Calibri" w:hAnsi="Calibri" w:cs="Calibri"/>
          <w:color w:val="000000"/>
          <w:shd w:val="clear" w:color="auto" w:fill="FFFFFF"/>
        </w:rPr>
        <w:t>in</w:t>
      </w:r>
      <w:r w:rsidR="0023506D">
        <w:rPr>
          <w:rFonts w:ascii="Calibri" w:hAnsi="Calibri" w:cs="Calibri"/>
          <w:color w:val="000000"/>
          <w:shd w:val="clear" w:color="auto" w:fill="FFFFFF"/>
        </w:rPr>
        <w:t>creases</w:t>
      </w:r>
      <w:r w:rsidRPr="00B219BB">
        <w:rPr>
          <w:rFonts w:ascii="Calibri" w:hAnsi="Calibri" w:cs="Calibri"/>
          <w:color w:val="000000"/>
          <w:shd w:val="clear" w:color="auto" w:fill="FFFFFF"/>
        </w:rPr>
        <w:t xml:space="preserve"> occurred in</w:t>
      </w:r>
      <w:r w:rsidR="008D6AF8">
        <w:rPr>
          <w:rFonts w:ascii="Calibri" w:hAnsi="Calibri" w:cs="Calibri"/>
          <w:color w:val="000000"/>
          <w:shd w:val="clear" w:color="auto" w:fill="FFFFFF"/>
        </w:rPr>
        <w:t xml:space="preserve"> </w:t>
      </w:r>
      <w:r w:rsidR="00952F93">
        <w:rPr>
          <w:rFonts w:ascii="Calibri" w:hAnsi="Calibri" w:cs="Calibri"/>
          <w:color w:val="000000"/>
          <w:shd w:val="clear" w:color="auto" w:fill="FFFFFF"/>
        </w:rPr>
        <w:t>Transportation &amp; Warehousing</w:t>
      </w:r>
      <w:r w:rsidR="00BB1B4D">
        <w:rPr>
          <w:rFonts w:ascii="Calibri" w:hAnsi="Calibri" w:cs="Calibri"/>
          <w:color w:val="000000"/>
          <w:shd w:val="clear" w:color="auto" w:fill="FFFFFF"/>
        </w:rPr>
        <w:t xml:space="preserve"> </w:t>
      </w:r>
      <w:r w:rsidR="004F4F3E">
        <w:rPr>
          <w:rFonts w:ascii="Calibri" w:hAnsi="Calibri" w:cs="Calibri"/>
          <w:color w:val="000000"/>
          <w:shd w:val="clear" w:color="auto" w:fill="FFFFFF"/>
        </w:rPr>
        <w:t>(</w:t>
      </w:r>
      <w:r w:rsidR="008F3AE9">
        <w:rPr>
          <w:rFonts w:ascii="Calibri" w:hAnsi="Calibri" w:cs="Calibri"/>
          <w:color w:val="000000"/>
          <w:shd w:val="clear" w:color="auto" w:fill="FFFFFF"/>
        </w:rPr>
        <w:t>+</w:t>
      </w:r>
      <w:r w:rsidR="00952F93">
        <w:rPr>
          <w:rFonts w:ascii="Calibri" w:hAnsi="Calibri" w:cs="Calibri"/>
          <w:color w:val="000000"/>
          <w:shd w:val="clear" w:color="auto" w:fill="FFFFFF"/>
        </w:rPr>
        <w:t>122</w:t>
      </w:r>
      <w:r w:rsidR="00237C3D">
        <w:rPr>
          <w:rFonts w:ascii="Calibri" w:hAnsi="Calibri" w:cs="Calibri"/>
          <w:color w:val="000000"/>
          <w:shd w:val="clear" w:color="auto" w:fill="FFFFFF"/>
        </w:rPr>
        <w:t xml:space="preserve"> new posting</w:t>
      </w:r>
      <w:r w:rsidR="008F3AE9">
        <w:rPr>
          <w:rFonts w:ascii="Calibri" w:hAnsi="Calibri" w:cs="Calibri"/>
          <w:color w:val="000000"/>
          <w:shd w:val="clear" w:color="auto" w:fill="FFFFFF"/>
        </w:rPr>
        <w:t>s</w:t>
      </w:r>
      <w:r w:rsidR="004F4F3E">
        <w:rPr>
          <w:rFonts w:ascii="Calibri" w:hAnsi="Calibri" w:cs="Calibri"/>
          <w:color w:val="000000"/>
          <w:shd w:val="clear" w:color="auto" w:fill="FFFFFF"/>
        </w:rPr>
        <w:t xml:space="preserve"> or </w:t>
      </w:r>
      <w:r w:rsidR="008F3AE9">
        <w:rPr>
          <w:rFonts w:ascii="Calibri" w:hAnsi="Calibri" w:cs="Calibri"/>
          <w:color w:val="000000"/>
          <w:shd w:val="clear" w:color="auto" w:fill="FFFFFF"/>
        </w:rPr>
        <w:t>+</w:t>
      </w:r>
      <w:r w:rsidR="00952F93">
        <w:rPr>
          <w:rFonts w:ascii="Calibri" w:hAnsi="Calibri" w:cs="Calibri"/>
          <w:color w:val="000000"/>
          <w:shd w:val="clear" w:color="auto" w:fill="FFFFFF"/>
        </w:rPr>
        <w:t>105%</w:t>
      </w:r>
      <w:r w:rsidR="004F4F3E">
        <w:rPr>
          <w:rFonts w:ascii="Calibri" w:hAnsi="Calibri" w:cs="Calibri"/>
          <w:color w:val="000000"/>
          <w:shd w:val="clear" w:color="auto" w:fill="FFFFFF"/>
        </w:rPr>
        <w:t>),</w:t>
      </w:r>
      <w:r w:rsidR="00952F93">
        <w:rPr>
          <w:rFonts w:ascii="Calibri" w:hAnsi="Calibri" w:cs="Calibri"/>
          <w:color w:val="000000"/>
          <w:shd w:val="clear" w:color="auto" w:fill="FFFFFF"/>
        </w:rPr>
        <w:t xml:space="preserve"> Utilities (+14 new </w:t>
      </w:r>
      <w:r w:rsidR="00C73EEE">
        <w:rPr>
          <w:rFonts w:ascii="Calibri" w:hAnsi="Calibri" w:cs="Calibri"/>
          <w:color w:val="000000"/>
          <w:shd w:val="clear" w:color="auto" w:fill="FFFFFF"/>
        </w:rPr>
        <w:t>postings</w:t>
      </w:r>
      <w:r w:rsidR="00952F93">
        <w:rPr>
          <w:rFonts w:ascii="Calibri" w:hAnsi="Calibri" w:cs="Calibri"/>
          <w:color w:val="000000"/>
          <w:shd w:val="clear" w:color="auto" w:fill="FFFFFF"/>
        </w:rPr>
        <w:t xml:space="preserve"> or 58%), </w:t>
      </w:r>
      <w:r w:rsidR="00C73EEE">
        <w:rPr>
          <w:rFonts w:ascii="Calibri" w:hAnsi="Calibri" w:cs="Calibri"/>
          <w:color w:val="000000"/>
          <w:shd w:val="clear" w:color="auto" w:fill="FFFFFF"/>
        </w:rPr>
        <w:t>and Accommodation</w:t>
      </w:r>
      <w:r w:rsidR="00952F93">
        <w:rPr>
          <w:rFonts w:ascii="Calibri" w:hAnsi="Calibri" w:cs="Calibri"/>
          <w:color w:val="000000"/>
          <w:shd w:val="clear" w:color="auto" w:fill="FFFFFF"/>
        </w:rPr>
        <w:t xml:space="preserve"> &amp; Food Services </w:t>
      </w:r>
      <w:r w:rsidR="00564DC8">
        <w:rPr>
          <w:rFonts w:ascii="Calibri" w:hAnsi="Calibri" w:cs="Calibri"/>
          <w:color w:val="000000"/>
          <w:shd w:val="clear" w:color="auto" w:fill="FFFFFF"/>
        </w:rPr>
        <w:t>(</w:t>
      </w:r>
      <w:r w:rsidR="002A760E">
        <w:rPr>
          <w:rFonts w:ascii="Calibri" w:hAnsi="Calibri" w:cs="Calibri"/>
          <w:color w:val="000000"/>
          <w:shd w:val="clear" w:color="auto" w:fill="FFFFFF"/>
        </w:rPr>
        <w:t>+</w:t>
      </w:r>
      <w:r w:rsidR="00952F93">
        <w:rPr>
          <w:rFonts w:ascii="Calibri" w:hAnsi="Calibri" w:cs="Calibri"/>
          <w:color w:val="000000"/>
          <w:shd w:val="clear" w:color="auto" w:fill="FFFFFF"/>
        </w:rPr>
        <w:t>188</w:t>
      </w:r>
      <w:r w:rsidR="00237C3D">
        <w:rPr>
          <w:rFonts w:ascii="Calibri" w:hAnsi="Calibri" w:cs="Calibri"/>
          <w:color w:val="000000"/>
          <w:shd w:val="clear" w:color="auto" w:fill="FFFFFF"/>
        </w:rPr>
        <w:t xml:space="preserve"> new posting</w:t>
      </w:r>
      <w:r w:rsidR="00564DC8">
        <w:rPr>
          <w:rFonts w:ascii="Calibri" w:hAnsi="Calibri" w:cs="Calibri"/>
          <w:color w:val="000000"/>
          <w:shd w:val="clear" w:color="auto" w:fill="FFFFFF"/>
        </w:rPr>
        <w:t xml:space="preserve">s or </w:t>
      </w:r>
      <w:r w:rsidR="002A760E">
        <w:rPr>
          <w:rFonts w:ascii="Calibri" w:hAnsi="Calibri" w:cs="Calibri"/>
          <w:color w:val="000000"/>
          <w:shd w:val="clear" w:color="auto" w:fill="FFFFFF"/>
        </w:rPr>
        <w:t>+</w:t>
      </w:r>
      <w:r w:rsidR="00952F93">
        <w:rPr>
          <w:rFonts w:ascii="Calibri" w:hAnsi="Calibri" w:cs="Calibri"/>
          <w:color w:val="000000"/>
          <w:shd w:val="clear" w:color="auto" w:fill="FFFFFF"/>
        </w:rPr>
        <w:t>56</w:t>
      </w:r>
      <w:r w:rsidR="00564DC8">
        <w:rPr>
          <w:rFonts w:ascii="Calibri" w:hAnsi="Calibri" w:cs="Calibri"/>
          <w:color w:val="000000"/>
          <w:shd w:val="clear" w:color="auto" w:fill="FFFFFF"/>
        </w:rPr>
        <w:t>%)</w:t>
      </w:r>
      <w:r w:rsidR="00C73EEE">
        <w:rPr>
          <w:rFonts w:ascii="Calibri" w:hAnsi="Calibri" w:cs="Calibri"/>
          <w:color w:val="000000"/>
          <w:shd w:val="clear" w:color="auto" w:fill="FFFFFF"/>
        </w:rPr>
        <w:t>.  Many of the sectors with the largest percent increases were those</w:t>
      </w:r>
      <w:r w:rsidR="006A0C2E">
        <w:rPr>
          <w:rFonts w:ascii="Calibri" w:hAnsi="Calibri" w:cs="Calibri"/>
          <w:color w:val="000000"/>
          <w:shd w:val="clear" w:color="auto" w:fill="FFFFFF"/>
        </w:rPr>
        <w:t xml:space="preserve"> </w:t>
      </w:r>
      <w:r w:rsidR="00C73EEE">
        <w:rPr>
          <w:rFonts w:ascii="Calibri" w:hAnsi="Calibri" w:cs="Calibri"/>
          <w:color w:val="000000"/>
          <w:shd w:val="clear" w:color="auto" w:fill="FFFFFF"/>
        </w:rPr>
        <w:t xml:space="preserve">significantly impacted by the pandemic lockdown.  The five sectors with over the week percent declines </w:t>
      </w:r>
      <w:r w:rsidR="006A0C2E">
        <w:rPr>
          <w:rFonts w:ascii="Calibri" w:hAnsi="Calibri" w:cs="Calibri"/>
          <w:color w:val="000000"/>
          <w:shd w:val="clear" w:color="auto" w:fill="FFFFFF"/>
        </w:rPr>
        <w:t>include Management (-5 new postings or 56%), Professional, Scientific, &amp; Technical Services (-109 new postings or -33%), and Construction (-19 new postings or -22%).</w:t>
      </w:r>
      <w:r w:rsidR="00BB1B4D">
        <w:rPr>
          <w:rFonts w:ascii="Calibri" w:hAnsi="Calibri" w:cs="Calibri"/>
          <w:color w:val="000000"/>
          <w:shd w:val="clear" w:color="auto" w:fill="FFFFFF"/>
        </w:rPr>
        <w:br/>
      </w:r>
      <w:r w:rsidR="00BB1B4D">
        <w:rPr>
          <w:rFonts w:ascii="Calibri" w:hAnsi="Calibri" w:cs="Calibri"/>
          <w:color w:val="000000"/>
          <w:shd w:val="clear" w:color="auto" w:fill="FFFFFF"/>
        </w:rPr>
        <w:br/>
      </w:r>
      <w:r w:rsidR="00736BB3">
        <w:rPr>
          <w:rFonts w:ascii="Calibri" w:hAnsi="Calibri" w:cs="Calibri"/>
          <w:color w:val="000000"/>
          <w:shd w:val="clear" w:color="auto" w:fill="FFFFFF"/>
        </w:rPr>
        <w:br/>
        <w:t>For more information on total job ads by industry for Connecticut and its labor market areas, see</w:t>
      </w:r>
      <w:r w:rsidR="00543012">
        <w:rPr>
          <w:rFonts w:ascii="Calibri" w:hAnsi="Calibri" w:cs="Calibri"/>
          <w:color w:val="000000"/>
          <w:shd w:val="clear" w:color="auto" w:fill="FFFFFF"/>
        </w:rPr>
        <w:t xml:space="preserve"> the monthly report available here: </w:t>
      </w:r>
      <w:hyperlink r:id="rId12" w:history="1">
        <w:r w:rsidR="00543012">
          <w:rPr>
            <w:rStyle w:val="Hyperlink"/>
          </w:rPr>
          <w:t>https://www1.ctdol.state.ct.us/lmi/hwol.asp</w:t>
        </w:r>
      </w:hyperlink>
    </w:p>
    <w:p w14:paraId="11BD4C1E" w14:textId="53D8B58C" w:rsidR="00543012" w:rsidRDefault="001E1DA5">
      <w:pPr>
        <w:rPr>
          <w:rFonts w:eastAsia="Times New Roman" w:cstheme="minorHAnsi"/>
          <w:b/>
          <w:bCs/>
        </w:rPr>
      </w:pPr>
      <w:r>
        <w:t xml:space="preserve">The June 2020 edition of the Connecticut Economic Digest features an article on HWOL: </w:t>
      </w:r>
      <w:hyperlink r:id="rId13" w:history="1">
        <w:r>
          <w:rPr>
            <w:rStyle w:val="Hyperlink"/>
          </w:rPr>
          <w:t>https://www1.ctdol.state.ct.us/lmi/digest/pdfs/cedjun20.pdf</w:t>
        </w:r>
      </w:hyperlink>
      <w:r w:rsidR="00543012">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25C8C216"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 xml:space="preserve">s during the week ending </w:t>
      </w:r>
      <w:r w:rsidR="00C46B59">
        <w:rPr>
          <w:rFonts w:ascii="Calibri" w:hAnsi="Calibri" w:cs="Calibri"/>
          <w:b/>
          <w:color w:val="000000"/>
          <w:shd w:val="clear" w:color="auto" w:fill="FFFFFF"/>
        </w:rPr>
        <w:t>6</w:t>
      </w:r>
      <w:r w:rsidRPr="0088622E">
        <w:rPr>
          <w:rFonts w:ascii="Calibri" w:hAnsi="Calibri" w:cs="Calibri"/>
          <w:b/>
          <w:color w:val="000000"/>
          <w:shd w:val="clear" w:color="auto" w:fill="FFFFFF"/>
        </w:rPr>
        <w:t>/</w:t>
      </w:r>
      <w:r w:rsidR="00D128C9">
        <w:rPr>
          <w:rFonts w:ascii="Calibri" w:hAnsi="Calibri" w:cs="Calibri"/>
          <w:b/>
          <w:color w:val="000000"/>
          <w:shd w:val="clear" w:color="auto" w:fill="FFFFFF"/>
        </w:rPr>
        <w:t>27</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0808441A" w:rsidR="00543012" w:rsidRPr="0023390E" w:rsidRDefault="00543012" w:rsidP="00543012">
      <w:pPr>
        <w:pStyle w:val="ListParagraph"/>
        <w:numPr>
          <w:ilvl w:val="0"/>
          <w:numId w:val="2"/>
        </w:numPr>
        <w:rPr>
          <w:rFonts w:eastAsia="Times New Roman" w:cstheme="minorHAnsi"/>
          <w:b/>
          <w:bCs/>
        </w:rPr>
      </w:pPr>
      <w:r>
        <w:rPr>
          <w:rFonts w:eastAsia="Times New Roman" w:cstheme="minorHAnsi"/>
        </w:rPr>
        <w:t>R</w:t>
      </w:r>
      <w:r w:rsidR="00BD16A7">
        <w:rPr>
          <w:rFonts w:eastAsia="Times New Roman" w:cstheme="minorHAnsi"/>
        </w:rPr>
        <w:t>etail Salespersons</w:t>
      </w:r>
      <w:r>
        <w:rPr>
          <w:rFonts w:eastAsia="Times New Roman" w:cstheme="minorHAnsi"/>
        </w:rPr>
        <w:t xml:space="preserve"> (</w:t>
      </w:r>
      <w:r w:rsidR="00BD16A7">
        <w:rPr>
          <w:rFonts w:eastAsia="Times New Roman" w:cstheme="minorHAnsi"/>
        </w:rPr>
        <w:t>208</w:t>
      </w:r>
      <w:r>
        <w:rPr>
          <w:rFonts w:eastAsia="Times New Roman" w:cstheme="minorHAnsi"/>
        </w:rPr>
        <w:t xml:space="preserve"> new postings, </w:t>
      </w:r>
      <w:r w:rsidR="00736BB3">
        <w:rPr>
          <w:rFonts w:eastAsia="Times New Roman" w:cstheme="minorHAnsi"/>
        </w:rPr>
        <w:t>+</w:t>
      </w:r>
      <w:r w:rsidR="00BD16A7">
        <w:rPr>
          <w:rFonts w:eastAsia="Times New Roman" w:cstheme="minorHAnsi"/>
        </w:rPr>
        <w:t>1</w:t>
      </w:r>
      <w:r w:rsidR="00D85328">
        <w:rPr>
          <w:rFonts w:eastAsia="Times New Roman" w:cstheme="minorHAnsi"/>
        </w:rPr>
        <w:t>%</w:t>
      </w:r>
      <w:r>
        <w:rPr>
          <w:rFonts w:eastAsia="Times New Roman" w:cstheme="minorHAnsi"/>
        </w:rPr>
        <w:t xml:space="preserve"> over the week)</w:t>
      </w:r>
    </w:p>
    <w:p w14:paraId="766006B1" w14:textId="117DBF89" w:rsidR="00543012" w:rsidRPr="0088622E" w:rsidRDefault="00C77024" w:rsidP="00543012">
      <w:pPr>
        <w:pStyle w:val="ListParagraph"/>
        <w:numPr>
          <w:ilvl w:val="0"/>
          <w:numId w:val="2"/>
        </w:numPr>
        <w:rPr>
          <w:rFonts w:eastAsia="Times New Roman" w:cstheme="minorHAnsi"/>
          <w:b/>
          <w:bCs/>
        </w:rPr>
      </w:pPr>
      <w:r>
        <w:rPr>
          <w:rFonts w:ascii="Calibri" w:hAnsi="Calibri" w:cs="Calibri"/>
          <w:color w:val="000000"/>
          <w:shd w:val="clear" w:color="auto" w:fill="FFFFFF"/>
        </w:rPr>
        <w:t>Laborers and Freight, Stock, and Material Movers</w:t>
      </w:r>
      <w:r w:rsidR="00543012" w:rsidRPr="00815C89">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BD16A7">
        <w:rPr>
          <w:rFonts w:ascii="Calibri" w:hAnsi="Calibri" w:cs="Calibri"/>
          <w:color w:val="000000"/>
          <w:shd w:val="clear" w:color="auto" w:fill="FFFFFF"/>
        </w:rPr>
        <w:t>197</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s,</w:t>
      </w:r>
      <w:r>
        <w:rPr>
          <w:rFonts w:ascii="Calibri" w:hAnsi="Calibri" w:cs="Calibri"/>
          <w:color w:val="000000"/>
          <w:shd w:val="clear" w:color="auto" w:fill="FFFFFF"/>
        </w:rPr>
        <w:t xml:space="preserve"> +1</w:t>
      </w:r>
      <w:r w:rsidR="00BD16A7">
        <w:rPr>
          <w:rFonts w:ascii="Calibri" w:hAnsi="Calibri" w:cs="Calibri"/>
          <w:color w:val="000000"/>
          <w:shd w:val="clear" w:color="auto" w:fill="FFFFFF"/>
        </w:rPr>
        <w:t>9</w:t>
      </w:r>
      <w:r>
        <w:rPr>
          <w:rFonts w:ascii="Calibri" w:hAnsi="Calibri" w:cs="Calibri"/>
          <w:color w:val="000000"/>
          <w:shd w:val="clear" w:color="auto" w:fill="FFFFFF"/>
        </w:rPr>
        <w:t>0</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7261D50A" w:rsidR="00543012" w:rsidRPr="00DB1461" w:rsidRDefault="00BD16A7" w:rsidP="00543012">
      <w:pPr>
        <w:pStyle w:val="ListParagraph"/>
        <w:numPr>
          <w:ilvl w:val="0"/>
          <w:numId w:val="2"/>
        </w:numPr>
        <w:rPr>
          <w:rFonts w:eastAsia="Times New Roman" w:cstheme="minorHAnsi"/>
          <w:b/>
          <w:bCs/>
        </w:rPr>
      </w:pPr>
      <w:r>
        <w:rPr>
          <w:rFonts w:ascii="Calibri" w:hAnsi="Calibri" w:cs="Calibri"/>
          <w:color w:val="000000"/>
          <w:shd w:val="clear" w:color="auto" w:fill="FFFFFF"/>
        </w:rPr>
        <w:t>Customer Service Representatives</w:t>
      </w:r>
      <w:r w:rsidR="00C77024" w:rsidRPr="00815C89">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543012">
        <w:rPr>
          <w:rFonts w:ascii="Calibri" w:hAnsi="Calibri" w:cs="Calibri"/>
          <w:color w:val="000000"/>
          <w:shd w:val="clear" w:color="auto" w:fill="FFFFFF"/>
        </w:rPr>
        <w:t>1</w:t>
      </w:r>
      <w:r>
        <w:rPr>
          <w:rFonts w:ascii="Calibri" w:hAnsi="Calibri" w:cs="Calibri"/>
          <w:color w:val="000000"/>
          <w:shd w:val="clear" w:color="auto" w:fill="FFFFFF"/>
        </w:rPr>
        <w:t>72</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543012">
        <w:rPr>
          <w:rFonts w:ascii="Calibri" w:hAnsi="Calibri" w:cs="Calibri"/>
          <w:color w:val="000000"/>
          <w:shd w:val="clear" w:color="auto" w:fill="FFFFFF"/>
        </w:rPr>
        <w:t>+</w:t>
      </w:r>
      <w:r w:rsidR="00167730">
        <w:rPr>
          <w:rFonts w:ascii="Calibri" w:hAnsi="Calibri" w:cs="Calibri"/>
          <w:color w:val="000000"/>
          <w:shd w:val="clear" w:color="auto" w:fill="FFFFFF"/>
        </w:rPr>
        <w:t>3</w:t>
      </w:r>
      <w:r>
        <w:rPr>
          <w:rFonts w:ascii="Calibri" w:hAnsi="Calibri" w:cs="Calibri"/>
          <w:color w:val="000000"/>
          <w:shd w:val="clear" w:color="auto" w:fill="FFFFFF"/>
        </w:rPr>
        <w:t>7</w:t>
      </w:r>
      <w:r w:rsidR="00543012" w:rsidRPr="0088622E">
        <w:rPr>
          <w:rFonts w:ascii="Calibri" w:hAnsi="Calibri" w:cs="Calibri"/>
          <w:color w:val="000000"/>
          <w:shd w:val="clear" w:color="auto" w:fill="FFFFFF"/>
        </w:rPr>
        <w:t>% over the week).</w:t>
      </w:r>
    </w:p>
    <w:p w14:paraId="71DAD488" w14:textId="77777777" w:rsidR="00DB1461" w:rsidRDefault="00DB1461" w:rsidP="00DB1461">
      <w:pPr>
        <w:rPr>
          <w:rFonts w:eastAsia="Times New Roman" w:cstheme="minorHAnsi"/>
          <w:b/>
          <w:bCs/>
        </w:rPr>
      </w:pPr>
    </w:p>
    <w:p w14:paraId="02C189CE" w14:textId="77D5992F" w:rsidR="00DB1461" w:rsidRDefault="00D128C9" w:rsidP="00DB1461">
      <w:pPr>
        <w:rPr>
          <w:rFonts w:eastAsia="Times New Roman" w:cstheme="minorHAnsi"/>
          <w:b/>
          <w:bCs/>
        </w:rPr>
      </w:pPr>
      <w:r w:rsidRPr="00D128C9">
        <w:rPr>
          <w:noProof/>
        </w:rPr>
        <w:drawing>
          <wp:inline distT="0" distB="0" distL="0" distR="0" wp14:anchorId="3ED017AB" wp14:editId="191FE65F">
            <wp:extent cx="6847840" cy="5126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126355"/>
                    </a:xfrm>
                    <a:prstGeom prst="rect">
                      <a:avLst/>
                    </a:prstGeom>
                    <a:noFill/>
                    <a:ln>
                      <a:noFill/>
                    </a:ln>
                  </pic:spPr>
                </pic:pic>
              </a:graphicData>
            </a:graphic>
          </wp:inline>
        </w:drawing>
      </w: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600F94B"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p>
    <w:p w14:paraId="47F75FA9" w14:textId="4F90EBD4" w:rsidR="00E07C3C" w:rsidRDefault="00E07C3C" w:rsidP="009B077F">
      <w:pPr>
        <w:rPr>
          <w:rFonts w:ascii="Calibri" w:hAnsi="Calibri" w:cs="Calibri"/>
          <w:color w:val="000000"/>
          <w:shd w:val="clear" w:color="auto" w:fill="FFFFFF"/>
        </w:rPr>
      </w:pPr>
      <w:r>
        <w:rPr>
          <w:rFonts w:eastAsia="Times New Roman" w:cstheme="minorHAnsi"/>
        </w:rPr>
        <w:t xml:space="preserve">The ten employers with the most </w:t>
      </w:r>
      <w:r w:rsidR="00237C3D">
        <w:rPr>
          <w:rFonts w:eastAsia="Times New Roman" w:cstheme="minorHAnsi"/>
        </w:rPr>
        <w:t>new job posting</w:t>
      </w:r>
      <w:r w:rsidR="00E65E95">
        <w:rPr>
          <w:rFonts w:eastAsia="Times New Roman" w:cstheme="minorHAnsi"/>
        </w:rPr>
        <w:t xml:space="preserve">s for the week ending </w:t>
      </w:r>
      <w:r w:rsidR="00167730">
        <w:rPr>
          <w:rFonts w:eastAsia="Times New Roman" w:cstheme="minorHAnsi"/>
        </w:rPr>
        <w:t xml:space="preserve">June </w:t>
      </w:r>
      <w:r w:rsidR="00F76FD7">
        <w:rPr>
          <w:rFonts w:eastAsia="Times New Roman" w:cstheme="minorHAnsi"/>
        </w:rPr>
        <w:t>27</w:t>
      </w:r>
      <w:r w:rsidR="00BF00AE">
        <w:rPr>
          <w:rFonts w:eastAsia="Times New Roman" w:cstheme="minorHAnsi"/>
          <w:vertAlign w:val="superscript"/>
        </w:rPr>
        <w:t>th</w:t>
      </w:r>
      <w:r w:rsidR="00E65E95">
        <w:rPr>
          <w:rFonts w:eastAsia="Times New Roman" w:cstheme="minorHAnsi"/>
        </w:rPr>
        <w:t xml:space="preserve"> </w:t>
      </w:r>
      <w:r w:rsidR="005525E3">
        <w:rPr>
          <w:rFonts w:eastAsia="Times New Roman" w:cstheme="minorHAnsi"/>
        </w:rPr>
        <w:t xml:space="preserve">were mostly in </w:t>
      </w:r>
      <w:r w:rsidR="00F76FD7">
        <w:rPr>
          <w:rFonts w:eastAsia="Times New Roman" w:cstheme="minorHAnsi"/>
        </w:rPr>
        <w:t>Healthcare, Finance &amp; Insurance, and Retail Trade.</w:t>
      </w:r>
      <w:r w:rsidR="005525E3">
        <w:rPr>
          <w:rFonts w:eastAsia="Times New Roman" w:cstheme="minorHAnsi"/>
        </w:rPr>
        <w:t xml:space="preserve"> </w:t>
      </w:r>
      <w:r w:rsidR="00167730">
        <w:rPr>
          <w:rFonts w:eastAsia="Times New Roman" w:cstheme="minorHAnsi"/>
        </w:rPr>
        <w:t xml:space="preserve"> Many top employers</w:t>
      </w:r>
      <w:r w:rsidR="00F76FD7">
        <w:rPr>
          <w:rFonts w:eastAsia="Times New Roman" w:cstheme="minorHAnsi"/>
        </w:rPr>
        <w:t xml:space="preserve"> </w:t>
      </w:r>
      <w:r w:rsidR="00167730">
        <w:rPr>
          <w:rFonts w:eastAsia="Times New Roman" w:cstheme="minorHAnsi"/>
        </w:rPr>
        <w:t xml:space="preserve">had </w:t>
      </w:r>
      <w:r w:rsidR="00E371A7">
        <w:rPr>
          <w:rFonts w:eastAsia="Times New Roman" w:cstheme="minorHAnsi"/>
        </w:rPr>
        <w:t>few</w:t>
      </w:r>
      <w:r w:rsidR="00167730">
        <w:rPr>
          <w:rFonts w:eastAsia="Times New Roman" w:cstheme="minorHAnsi"/>
        </w:rPr>
        <w:t xml:space="preserve"> or no job ads in the prior week</w:t>
      </w:r>
      <w:r w:rsidR="00F76FD7">
        <w:rPr>
          <w:rFonts w:eastAsia="Times New Roman" w:cstheme="minorHAnsi"/>
        </w:rPr>
        <w:t xml:space="preserve"> and many had </w:t>
      </w:r>
      <w:r w:rsidR="00952F93">
        <w:rPr>
          <w:rFonts w:eastAsia="Times New Roman" w:cstheme="minorHAnsi"/>
        </w:rPr>
        <w:t>2-3 times</w:t>
      </w:r>
      <w:r w:rsidR="00F76FD7">
        <w:rPr>
          <w:rFonts w:eastAsia="Times New Roman" w:cstheme="minorHAnsi"/>
        </w:rPr>
        <w:t xml:space="preserve"> their count from four weeks ago.</w:t>
      </w:r>
      <w:r w:rsidR="00686CEC">
        <w:rPr>
          <w:rFonts w:eastAsia="Times New Roman" w:cstheme="minorHAnsi"/>
        </w:rPr>
        <w:t xml:space="preserve">  </w:t>
      </w:r>
      <w:r w:rsidR="00E371A7">
        <w:rPr>
          <w:rFonts w:eastAsia="Times New Roman" w:cstheme="minorHAnsi"/>
        </w:rPr>
        <w:br/>
      </w:r>
    </w:p>
    <w:p w14:paraId="14C157F0" w14:textId="3595D7FC" w:rsidR="00DB1461" w:rsidRDefault="00F76FD7" w:rsidP="009B077F">
      <w:pPr>
        <w:rPr>
          <w:rFonts w:ascii="Calibri" w:hAnsi="Calibri" w:cs="Calibri"/>
          <w:color w:val="000000"/>
          <w:shd w:val="clear" w:color="auto" w:fill="FFFFFF"/>
        </w:rPr>
      </w:pPr>
      <w:r>
        <w:t xml:space="preserve">                       </w:t>
      </w:r>
      <w:r w:rsidR="00D45BFB" w:rsidRPr="00D45BFB">
        <w:rPr>
          <w:noProof/>
        </w:rPr>
        <w:drawing>
          <wp:inline distT="0" distB="0" distL="0" distR="0" wp14:anchorId="7DFF502F" wp14:editId="2C1A4494">
            <wp:extent cx="5292090" cy="2887345"/>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2090" cy="2887345"/>
                    </a:xfrm>
                    <a:prstGeom prst="rect">
                      <a:avLst/>
                    </a:prstGeom>
                    <a:noFill/>
                    <a:ln>
                      <a:noFill/>
                    </a:ln>
                  </pic:spPr>
                </pic:pic>
              </a:graphicData>
            </a:graphic>
          </wp:inline>
        </w:drawing>
      </w:r>
    </w:p>
    <w:p w14:paraId="63B495B1" w14:textId="4D12E145" w:rsidR="00543012" w:rsidRDefault="00180E58" w:rsidP="00C46B59">
      <w:pPr>
        <w:jc w:val="center"/>
        <w:rPr>
          <w:rFonts w:eastAsia="Times New Roman" w:cstheme="minorHAnsi"/>
          <w:b/>
          <w:bCs/>
        </w:rPr>
      </w:pPr>
      <w:r>
        <w:rPr>
          <w:rFonts w:eastAsia="Times New Roman" w:cstheme="minorHAnsi"/>
          <w:b/>
          <w:bCs/>
        </w:rPr>
        <w:br/>
      </w:r>
    </w:p>
    <w:p w14:paraId="16612433" w14:textId="11B0DDAE" w:rsidR="00C12EEA" w:rsidRPr="00F0324E" w:rsidRDefault="00F0324E" w:rsidP="00C12EEA">
      <w:pPr>
        <w:rPr>
          <w:rFonts w:eastAsia="Times New Roman" w:cstheme="minorHAnsi"/>
        </w:rPr>
      </w:pPr>
      <w:r>
        <w:br/>
      </w:r>
      <w:r w:rsidR="00DB1461">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DB1461">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p w14:paraId="518B8736" w14:textId="77777777" w:rsidR="00B35662" w:rsidRPr="00F0324E" w:rsidRDefault="00B35662" w:rsidP="00B35662">
      <w:pPr>
        <w:spacing w:after="0" w:line="240" w:lineRule="auto"/>
        <w:rPr>
          <w:rFonts w:eastAsia="Times New Roman" w:cstheme="minorHAnsi"/>
          <w:sz w:val="27"/>
          <w:szCs w:val="27"/>
        </w:rPr>
      </w:pPr>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AE09D" w14:textId="77777777" w:rsidR="000E079B" w:rsidRDefault="000E079B" w:rsidP="00D01564">
      <w:pPr>
        <w:spacing w:after="0" w:line="240" w:lineRule="auto"/>
      </w:pPr>
      <w:r>
        <w:separator/>
      </w:r>
    </w:p>
  </w:endnote>
  <w:endnote w:type="continuationSeparator" w:id="0">
    <w:p w14:paraId="0215E200" w14:textId="77777777" w:rsidR="000E079B" w:rsidRDefault="000E079B"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6B03D4">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6DF20" w14:textId="77777777" w:rsidR="000E079B" w:rsidRDefault="000E079B" w:rsidP="00D01564">
      <w:pPr>
        <w:spacing w:after="0" w:line="240" w:lineRule="auto"/>
      </w:pPr>
      <w:r>
        <w:separator/>
      </w:r>
    </w:p>
  </w:footnote>
  <w:footnote w:type="continuationSeparator" w:id="0">
    <w:p w14:paraId="491D3ED3" w14:textId="77777777" w:rsidR="000E079B" w:rsidRDefault="000E079B"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20E4E"/>
    <w:rsid w:val="00026DE4"/>
    <w:rsid w:val="00033251"/>
    <w:rsid w:val="00033922"/>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079B"/>
    <w:rsid w:val="000E34E0"/>
    <w:rsid w:val="000F026C"/>
    <w:rsid w:val="000F0357"/>
    <w:rsid w:val="000F45EE"/>
    <w:rsid w:val="000F681B"/>
    <w:rsid w:val="00100DE6"/>
    <w:rsid w:val="00117F64"/>
    <w:rsid w:val="00120BD2"/>
    <w:rsid w:val="00120C3C"/>
    <w:rsid w:val="00127440"/>
    <w:rsid w:val="001300D5"/>
    <w:rsid w:val="001329FE"/>
    <w:rsid w:val="00132BE3"/>
    <w:rsid w:val="00134DDD"/>
    <w:rsid w:val="00135EB6"/>
    <w:rsid w:val="00136614"/>
    <w:rsid w:val="00146D43"/>
    <w:rsid w:val="00147FED"/>
    <w:rsid w:val="00152514"/>
    <w:rsid w:val="001528E7"/>
    <w:rsid w:val="0015361E"/>
    <w:rsid w:val="00156C31"/>
    <w:rsid w:val="001640C0"/>
    <w:rsid w:val="001652D1"/>
    <w:rsid w:val="00165398"/>
    <w:rsid w:val="001658B5"/>
    <w:rsid w:val="00167730"/>
    <w:rsid w:val="00177E30"/>
    <w:rsid w:val="00180E58"/>
    <w:rsid w:val="00181EBE"/>
    <w:rsid w:val="00182341"/>
    <w:rsid w:val="00185D74"/>
    <w:rsid w:val="00186CA8"/>
    <w:rsid w:val="00194638"/>
    <w:rsid w:val="00194767"/>
    <w:rsid w:val="001A1EFF"/>
    <w:rsid w:val="001A38F9"/>
    <w:rsid w:val="001A6B33"/>
    <w:rsid w:val="001B2BD2"/>
    <w:rsid w:val="001B7541"/>
    <w:rsid w:val="001C16AF"/>
    <w:rsid w:val="001C47FE"/>
    <w:rsid w:val="001C5098"/>
    <w:rsid w:val="001C51CA"/>
    <w:rsid w:val="001D0072"/>
    <w:rsid w:val="001E0003"/>
    <w:rsid w:val="001E08C5"/>
    <w:rsid w:val="001E1DA5"/>
    <w:rsid w:val="001E2480"/>
    <w:rsid w:val="001F0AF4"/>
    <w:rsid w:val="001F193F"/>
    <w:rsid w:val="001F74F6"/>
    <w:rsid w:val="00210AE0"/>
    <w:rsid w:val="0021153A"/>
    <w:rsid w:val="00212B90"/>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7263E"/>
    <w:rsid w:val="0027281B"/>
    <w:rsid w:val="0027658B"/>
    <w:rsid w:val="00280927"/>
    <w:rsid w:val="002810F5"/>
    <w:rsid w:val="002827DF"/>
    <w:rsid w:val="002847E8"/>
    <w:rsid w:val="00286CCD"/>
    <w:rsid w:val="00291E8C"/>
    <w:rsid w:val="002A315A"/>
    <w:rsid w:val="002A34FA"/>
    <w:rsid w:val="002A3FB6"/>
    <w:rsid w:val="002A43AA"/>
    <w:rsid w:val="002A554F"/>
    <w:rsid w:val="002A5A6C"/>
    <w:rsid w:val="002A760E"/>
    <w:rsid w:val="002B1B1F"/>
    <w:rsid w:val="002B2521"/>
    <w:rsid w:val="002B2998"/>
    <w:rsid w:val="002B4939"/>
    <w:rsid w:val="002C0B45"/>
    <w:rsid w:val="002C2C21"/>
    <w:rsid w:val="002C5777"/>
    <w:rsid w:val="002C5A33"/>
    <w:rsid w:val="002D0151"/>
    <w:rsid w:val="002D2E66"/>
    <w:rsid w:val="002D43D7"/>
    <w:rsid w:val="002D473B"/>
    <w:rsid w:val="002D73F8"/>
    <w:rsid w:val="002E1885"/>
    <w:rsid w:val="002E1AED"/>
    <w:rsid w:val="002E44F2"/>
    <w:rsid w:val="002E60B1"/>
    <w:rsid w:val="002F3968"/>
    <w:rsid w:val="002F5DF8"/>
    <w:rsid w:val="003010C5"/>
    <w:rsid w:val="003038B7"/>
    <w:rsid w:val="00303CFD"/>
    <w:rsid w:val="003109A6"/>
    <w:rsid w:val="003111AC"/>
    <w:rsid w:val="003157B6"/>
    <w:rsid w:val="00316093"/>
    <w:rsid w:val="003217F1"/>
    <w:rsid w:val="00322B55"/>
    <w:rsid w:val="003253C7"/>
    <w:rsid w:val="00333397"/>
    <w:rsid w:val="00341912"/>
    <w:rsid w:val="003451E7"/>
    <w:rsid w:val="00350766"/>
    <w:rsid w:val="0035187A"/>
    <w:rsid w:val="0035272E"/>
    <w:rsid w:val="00360BF1"/>
    <w:rsid w:val="003617CE"/>
    <w:rsid w:val="00363A29"/>
    <w:rsid w:val="00363E6A"/>
    <w:rsid w:val="003647EF"/>
    <w:rsid w:val="0037161D"/>
    <w:rsid w:val="00371AED"/>
    <w:rsid w:val="0037525C"/>
    <w:rsid w:val="00376CD4"/>
    <w:rsid w:val="00382A92"/>
    <w:rsid w:val="00386E79"/>
    <w:rsid w:val="00393C2B"/>
    <w:rsid w:val="003A0925"/>
    <w:rsid w:val="003B5944"/>
    <w:rsid w:val="003B5A4A"/>
    <w:rsid w:val="003B77B8"/>
    <w:rsid w:val="003C0910"/>
    <w:rsid w:val="003C77B1"/>
    <w:rsid w:val="003D0A6C"/>
    <w:rsid w:val="003D0D1E"/>
    <w:rsid w:val="003D2232"/>
    <w:rsid w:val="003E2E01"/>
    <w:rsid w:val="003E3936"/>
    <w:rsid w:val="003F1203"/>
    <w:rsid w:val="0040001C"/>
    <w:rsid w:val="0040322B"/>
    <w:rsid w:val="00403826"/>
    <w:rsid w:val="00407BF9"/>
    <w:rsid w:val="00413A22"/>
    <w:rsid w:val="00416A82"/>
    <w:rsid w:val="004330CE"/>
    <w:rsid w:val="00433E67"/>
    <w:rsid w:val="00434063"/>
    <w:rsid w:val="00437B56"/>
    <w:rsid w:val="0044614B"/>
    <w:rsid w:val="00446580"/>
    <w:rsid w:val="004475D3"/>
    <w:rsid w:val="00450C98"/>
    <w:rsid w:val="00451DAC"/>
    <w:rsid w:val="00452CDC"/>
    <w:rsid w:val="00455DCD"/>
    <w:rsid w:val="00461280"/>
    <w:rsid w:val="00462BF0"/>
    <w:rsid w:val="00465459"/>
    <w:rsid w:val="00471C8A"/>
    <w:rsid w:val="00476B91"/>
    <w:rsid w:val="00480B32"/>
    <w:rsid w:val="0048443E"/>
    <w:rsid w:val="00491800"/>
    <w:rsid w:val="00492FAE"/>
    <w:rsid w:val="0049367C"/>
    <w:rsid w:val="004A2BC0"/>
    <w:rsid w:val="004A5157"/>
    <w:rsid w:val="004A5201"/>
    <w:rsid w:val="004A540A"/>
    <w:rsid w:val="004B2C9F"/>
    <w:rsid w:val="004C4F31"/>
    <w:rsid w:val="004E35C0"/>
    <w:rsid w:val="004F3949"/>
    <w:rsid w:val="004F4F3E"/>
    <w:rsid w:val="00511168"/>
    <w:rsid w:val="00515CB9"/>
    <w:rsid w:val="00516C85"/>
    <w:rsid w:val="00520D02"/>
    <w:rsid w:val="00520E0D"/>
    <w:rsid w:val="00526D32"/>
    <w:rsid w:val="0053001F"/>
    <w:rsid w:val="00530AD8"/>
    <w:rsid w:val="00530B83"/>
    <w:rsid w:val="0053266D"/>
    <w:rsid w:val="00532CD4"/>
    <w:rsid w:val="00540CEE"/>
    <w:rsid w:val="00543012"/>
    <w:rsid w:val="005525E3"/>
    <w:rsid w:val="00557093"/>
    <w:rsid w:val="005638C6"/>
    <w:rsid w:val="00564DC8"/>
    <w:rsid w:val="0056717B"/>
    <w:rsid w:val="00571337"/>
    <w:rsid w:val="00573E6F"/>
    <w:rsid w:val="00573FEC"/>
    <w:rsid w:val="00577342"/>
    <w:rsid w:val="0058111B"/>
    <w:rsid w:val="005908D3"/>
    <w:rsid w:val="00591DA8"/>
    <w:rsid w:val="0059354A"/>
    <w:rsid w:val="005957A6"/>
    <w:rsid w:val="005958C0"/>
    <w:rsid w:val="005970D5"/>
    <w:rsid w:val="00597C35"/>
    <w:rsid w:val="005A23B0"/>
    <w:rsid w:val="005A3C8B"/>
    <w:rsid w:val="005A60E0"/>
    <w:rsid w:val="005B3D64"/>
    <w:rsid w:val="005D058B"/>
    <w:rsid w:val="005D0B53"/>
    <w:rsid w:val="005D224C"/>
    <w:rsid w:val="005F4716"/>
    <w:rsid w:val="00603716"/>
    <w:rsid w:val="006203C3"/>
    <w:rsid w:val="0062694C"/>
    <w:rsid w:val="00632AED"/>
    <w:rsid w:val="00637834"/>
    <w:rsid w:val="006420A4"/>
    <w:rsid w:val="00645502"/>
    <w:rsid w:val="0065207E"/>
    <w:rsid w:val="0065318A"/>
    <w:rsid w:val="00653CF1"/>
    <w:rsid w:val="00653FC6"/>
    <w:rsid w:val="006627A6"/>
    <w:rsid w:val="00662815"/>
    <w:rsid w:val="006765A2"/>
    <w:rsid w:val="00681321"/>
    <w:rsid w:val="00682DC8"/>
    <w:rsid w:val="00684BAC"/>
    <w:rsid w:val="00685E69"/>
    <w:rsid w:val="00686CEC"/>
    <w:rsid w:val="0069781C"/>
    <w:rsid w:val="006A0C2E"/>
    <w:rsid w:val="006A2FFF"/>
    <w:rsid w:val="006A3CB9"/>
    <w:rsid w:val="006A7741"/>
    <w:rsid w:val="006B03D4"/>
    <w:rsid w:val="006B0C07"/>
    <w:rsid w:val="006B2706"/>
    <w:rsid w:val="006B2E5F"/>
    <w:rsid w:val="006B33A1"/>
    <w:rsid w:val="006B7723"/>
    <w:rsid w:val="006B7D0D"/>
    <w:rsid w:val="006C06F2"/>
    <w:rsid w:val="006C17E0"/>
    <w:rsid w:val="006C4556"/>
    <w:rsid w:val="006D11D0"/>
    <w:rsid w:val="006D46BF"/>
    <w:rsid w:val="006D6D23"/>
    <w:rsid w:val="006E2670"/>
    <w:rsid w:val="006E274A"/>
    <w:rsid w:val="006F09A3"/>
    <w:rsid w:val="006F2325"/>
    <w:rsid w:val="006F3279"/>
    <w:rsid w:val="006F70B7"/>
    <w:rsid w:val="00701560"/>
    <w:rsid w:val="00707D93"/>
    <w:rsid w:val="00714C38"/>
    <w:rsid w:val="007311D4"/>
    <w:rsid w:val="00735998"/>
    <w:rsid w:val="00736645"/>
    <w:rsid w:val="00736BB3"/>
    <w:rsid w:val="00745757"/>
    <w:rsid w:val="0075230D"/>
    <w:rsid w:val="00757765"/>
    <w:rsid w:val="00757BBD"/>
    <w:rsid w:val="007612A6"/>
    <w:rsid w:val="00763540"/>
    <w:rsid w:val="00767785"/>
    <w:rsid w:val="00776C04"/>
    <w:rsid w:val="00783440"/>
    <w:rsid w:val="00784095"/>
    <w:rsid w:val="00785588"/>
    <w:rsid w:val="00786276"/>
    <w:rsid w:val="007910F0"/>
    <w:rsid w:val="007959F7"/>
    <w:rsid w:val="007A09FE"/>
    <w:rsid w:val="007A388F"/>
    <w:rsid w:val="007A3F5D"/>
    <w:rsid w:val="007A7078"/>
    <w:rsid w:val="007B4991"/>
    <w:rsid w:val="007B4B96"/>
    <w:rsid w:val="007B5DDF"/>
    <w:rsid w:val="007C2F60"/>
    <w:rsid w:val="007C32D0"/>
    <w:rsid w:val="007C7EA0"/>
    <w:rsid w:val="007D11B8"/>
    <w:rsid w:val="007D3F02"/>
    <w:rsid w:val="007D4E22"/>
    <w:rsid w:val="007D7712"/>
    <w:rsid w:val="007E792A"/>
    <w:rsid w:val="007F462B"/>
    <w:rsid w:val="008053B4"/>
    <w:rsid w:val="00805CE5"/>
    <w:rsid w:val="00806F9D"/>
    <w:rsid w:val="00807C4E"/>
    <w:rsid w:val="00815C89"/>
    <w:rsid w:val="008172C6"/>
    <w:rsid w:val="00820E4E"/>
    <w:rsid w:val="008335D6"/>
    <w:rsid w:val="008372AA"/>
    <w:rsid w:val="00842AE0"/>
    <w:rsid w:val="00842C33"/>
    <w:rsid w:val="00842F3B"/>
    <w:rsid w:val="00845B02"/>
    <w:rsid w:val="0085230C"/>
    <w:rsid w:val="0085573B"/>
    <w:rsid w:val="00863226"/>
    <w:rsid w:val="00864F8E"/>
    <w:rsid w:val="00866721"/>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637E"/>
    <w:rsid w:val="008D6AF8"/>
    <w:rsid w:val="008D6C43"/>
    <w:rsid w:val="008D6DA8"/>
    <w:rsid w:val="008E2EA0"/>
    <w:rsid w:val="008E3D98"/>
    <w:rsid w:val="008E58E1"/>
    <w:rsid w:val="008E5A2C"/>
    <w:rsid w:val="008F3AE9"/>
    <w:rsid w:val="008F4653"/>
    <w:rsid w:val="00901F4D"/>
    <w:rsid w:val="00910856"/>
    <w:rsid w:val="00912C78"/>
    <w:rsid w:val="00933A8F"/>
    <w:rsid w:val="009378A2"/>
    <w:rsid w:val="00942737"/>
    <w:rsid w:val="009435B8"/>
    <w:rsid w:val="00944DBB"/>
    <w:rsid w:val="00952640"/>
    <w:rsid w:val="00952F93"/>
    <w:rsid w:val="0095489A"/>
    <w:rsid w:val="0095746D"/>
    <w:rsid w:val="009601D6"/>
    <w:rsid w:val="00961C6B"/>
    <w:rsid w:val="00964E60"/>
    <w:rsid w:val="00970742"/>
    <w:rsid w:val="00970CE8"/>
    <w:rsid w:val="00971FE5"/>
    <w:rsid w:val="00972086"/>
    <w:rsid w:val="00981B46"/>
    <w:rsid w:val="00981F63"/>
    <w:rsid w:val="00983FDC"/>
    <w:rsid w:val="0098528D"/>
    <w:rsid w:val="00986971"/>
    <w:rsid w:val="00990A3A"/>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37C1"/>
    <w:rsid w:val="00A33C8D"/>
    <w:rsid w:val="00A357A8"/>
    <w:rsid w:val="00A3658F"/>
    <w:rsid w:val="00A369AC"/>
    <w:rsid w:val="00A37487"/>
    <w:rsid w:val="00A40D40"/>
    <w:rsid w:val="00A43439"/>
    <w:rsid w:val="00A47202"/>
    <w:rsid w:val="00A50F25"/>
    <w:rsid w:val="00A54D63"/>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73B2"/>
    <w:rsid w:val="00AF2F79"/>
    <w:rsid w:val="00AF3963"/>
    <w:rsid w:val="00AF6670"/>
    <w:rsid w:val="00AF7560"/>
    <w:rsid w:val="00B114F7"/>
    <w:rsid w:val="00B219BB"/>
    <w:rsid w:val="00B24047"/>
    <w:rsid w:val="00B24464"/>
    <w:rsid w:val="00B25E3F"/>
    <w:rsid w:val="00B319FC"/>
    <w:rsid w:val="00B33B16"/>
    <w:rsid w:val="00B35662"/>
    <w:rsid w:val="00B35A80"/>
    <w:rsid w:val="00B37CAB"/>
    <w:rsid w:val="00B41E2A"/>
    <w:rsid w:val="00B5602F"/>
    <w:rsid w:val="00B571E0"/>
    <w:rsid w:val="00B606F1"/>
    <w:rsid w:val="00B62475"/>
    <w:rsid w:val="00B7135C"/>
    <w:rsid w:val="00B713B9"/>
    <w:rsid w:val="00B84D09"/>
    <w:rsid w:val="00B9206D"/>
    <w:rsid w:val="00B97124"/>
    <w:rsid w:val="00BA15C9"/>
    <w:rsid w:val="00BA19B3"/>
    <w:rsid w:val="00BA5D8C"/>
    <w:rsid w:val="00BB0260"/>
    <w:rsid w:val="00BB11D2"/>
    <w:rsid w:val="00BB1B4D"/>
    <w:rsid w:val="00BB71B3"/>
    <w:rsid w:val="00BC040C"/>
    <w:rsid w:val="00BC20D7"/>
    <w:rsid w:val="00BC3FE9"/>
    <w:rsid w:val="00BC4BC8"/>
    <w:rsid w:val="00BC534F"/>
    <w:rsid w:val="00BD0894"/>
    <w:rsid w:val="00BD16A7"/>
    <w:rsid w:val="00BD1BFB"/>
    <w:rsid w:val="00BD2E74"/>
    <w:rsid w:val="00BD4801"/>
    <w:rsid w:val="00BD50D9"/>
    <w:rsid w:val="00BE42E7"/>
    <w:rsid w:val="00BE665D"/>
    <w:rsid w:val="00BF00AE"/>
    <w:rsid w:val="00BF0FF4"/>
    <w:rsid w:val="00BF5A50"/>
    <w:rsid w:val="00BF7515"/>
    <w:rsid w:val="00C060A1"/>
    <w:rsid w:val="00C1280F"/>
    <w:rsid w:val="00C12EEA"/>
    <w:rsid w:val="00C207FC"/>
    <w:rsid w:val="00C223CA"/>
    <w:rsid w:val="00C23902"/>
    <w:rsid w:val="00C279F8"/>
    <w:rsid w:val="00C33528"/>
    <w:rsid w:val="00C43543"/>
    <w:rsid w:val="00C4512C"/>
    <w:rsid w:val="00C45643"/>
    <w:rsid w:val="00C46B59"/>
    <w:rsid w:val="00C56923"/>
    <w:rsid w:val="00C71599"/>
    <w:rsid w:val="00C73EEE"/>
    <w:rsid w:val="00C77024"/>
    <w:rsid w:val="00C77ECD"/>
    <w:rsid w:val="00C82870"/>
    <w:rsid w:val="00C8458E"/>
    <w:rsid w:val="00C85131"/>
    <w:rsid w:val="00C87CCB"/>
    <w:rsid w:val="00C91631"/>
    <w:rsid w:val="00C93B67"/>
    <w:rsid w:val="00C9629D"/>
    <w:rsid w:val="00CA6A74"/>
    <w:rsid w:val="00CB5162"/>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4A03"/>
    <w:rsid w:val="00D07603"/>
    <w:rsid w:val="00D128C9"/>
    <w:rsid w:val="00D12983"/>
    <w:rsid w:val="00D171DE"/>
    <w:rsid w:val="00D204BE"/>
    <w:rsid w:val="00D214BA"/>
    <w:rsid w:val="00D21960"/>
    <w:rsid w:val="00D31FD2"/>
    <w:rsid w:val="00D347CA"/>
    <w:rsid w:val="00D42F0A"/>
    <w:rsid w:val="00D43D84"/>
    <w:rsid w:val="00D44353"/>
    <w:rsid w:val="00D445E7"/>
    <w:rsid w:val="00D4480F"/>
    <w:rsid w:val="00D45BFB"/>
    <w:rsid w:val="00D604C2"/>
    <w:rsid w:val="00D63476"/>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E429F"/>
    <w:rsid w:val="00DE47EE"/>
    <w:rsid w:val="00DE6D4C"/>
    <w:rsid w:val="00DF0B18"/>
    <w:rsid w:val="00DF1AD0"/>
    <w:rsid w:val="00DF3066"/>
    <w:rsid w:val="00DF5C25"/>
    <w:rsid w:val="00E05322"/>
    <w:rsid w:val="00E07C3C"/>
    <w:rsid w:val="00E23735"/>
    <w:rsid w:val="00E27E67"/>
    <w:rsid w:val="00E36DE6"/>
    <w:rsid w:val="00E371A7"/>
    <w:rsid w:val="00E37A50"/>
    <w:rsid w:val="00E447D6"/>
    <w:rsid w:val="00E455CF"/>
    <w:rsid w:val="00E45FD8"/>
    <w:rsid w:val="00E46CE0"/>
    <w:rsid w:val="00E5233C"/>
    <w:rsid w:val="00E556FA"/>
    <w:rsid w:val="00E57007"/>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70E9"/>
    <w:rsid w:val="00EE784C"/>
    <w:rsid w:val="00F00A72"/>
    <w:rsid w:val="00F0324E"/>
    <w:rsid w:val="00F03F5A"/>
    <w:rsid w:val="00F076B2"/>
    <w:rsid w:val="00F11634"/>
    <w:rsid w:val="00F118D5"/>
    <w:rsid w:val="00F135A4"/>
    <w:rsid w:val="00F1663C"/>
    <w:rsid w:val="00F23202"/>
    <w:rsid w:val="00F26DE2"/>
    <w:rsid w:val="00F3038E"/>
    <w:rsid w:val="00F30683"/>
    <w:rsid w:val="00F323C2"/>
    <w:rsid w:val="00F357EA"/>
    <w:rsid w:val="00F35E31"/>
    <w:rsid w:val="00F378C6"/>
    <w:rsid w:val="00F40B4B"/>
    <w:rsid w:val="00F453E7"/>
    <w:rsid w:val="00F502E3"/>
    <w:rsid w:val="00F6039D"/>
    <w:rsid w:val="00F628B3"/>
    <w:rsid w:val="00F62C17"/>
    <w:rsid w:val="00F667FC"/>
    <w:rsid w:val="00F67C0D"/>
    <w:rsid w:val="00F70032"/>
    <w:rsid w:val="00F70C1D"/>
    <w:rsid w:val="00F753C8"/>
    <w:rsid w:val="00F76FD7"/>
    <w:rsid w:val="00F82A20"/>
    <w:rsid w:val="00F82E79"/>
    <w:rsid w:val="00F901E9"/>
    <w:rsid w:val="00F92959"/>
    <w:rsid w:val="00FA3FA7"/>
    <w:rsid w:val="00FA4FC6"/>
    <w:rsid w:val="00FB3D05"/>
    <w:rsid w:val="00FC0823"/>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6/27/20</a:t>
            </a:r>
            <a:endParaRPr lang="en-US" sz="1100" b="1">
              <a:solidFill>
                <a:sysClr val="windowText" lastClr="000000"/>
              </a:solidFill>
            </a:endParaRPr>
          </a:p>
        </c:rich>
      </c:tx>
      <c:layout>
        <c:manualLayout>
          <c:xMode val="edge"/>
          <c:yMode val="edge"/>
          <c:x val="0.25033310301252232"/>
          <c:y val="2.2888532845044631E-2"/>
        </c:manualLayout>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tx>
            <c:v>jjj</c:v>
          </c:tx>
          <c:spPr>
            <a:ln w="28575" cap="rnd">
              <a:solidFill>
                <a:srgbClr val="00B050"/>
              </a:solidFill>
              <a:round/>
            </a:ln>
            <a:effectLst/>
          </c:spPr>
          <c:marker>
            <c:symbol val="circle"/>
            <c:size val="5"/>
            <c:spPr>
              <a:solidFill>
                <a:srgbClr val="00B050"/>
              </a:solidFill>
              <a:ln w="9525">
                <a:solidFill>
                  <a:srgbClr val="00B050"/>
                </a:solidFill>
              </a:ln>
              <a:effectLst/>
            </c:spPr>
          </c:marker>
          <c:cat>
            <c:numRef>
              <c:f>Report4_Data!$B$29:$B$54</c:f>
              <c:numCache>
                <c:formatCode>m/d/yy;@</c:formatCode>
                <c:ptCount val="26"/>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numCache>
            </c:numRef>
          </c:cat>
          <c:val>
            <c:numRef>
              <c:f>Report4_Data!$C$29:$C$54</c:f>
              <c:numCache>
                <c:formatCode>General</c:formatCode>
                <c:ptCount val="26"/>
                <c:pt idx="0">
                  <c:v>5901</c:v>
                </c:pt>
                <c:pt idx="1">
                  <c:v>6285</c:v>
                </c:pt>
                <c:pt idx="2">
                  <c:v>5577</c:v>
                </c:pt>
                <c:pt idx="3">
                  <c:v>5371</c:v>
                </c:pt>
                <c:pt idx="4">
                  <c:v>6591</c:v>
                </c:pt>
                <c:pt idx="5">
                  <c:v>6339</c:v>
                </c:pt>
                <c:pt idx="6">
                  <c:v>8561</c:v>
                </c:pt>
                <c:pt idx="7">
                  <c:v>6815</c:v>
                </c:pt>
                <c:pt idx="8">
                  <c:v>6096</c:v>
                </c:pt>
                <c:pt idx="9">
                  <c:v>8165</c:v>
                </c:pt>
                <c:pt idx="10">
                  <c:v>5163</c:v>
                </c:pt>
                <c:pt idx="11">
                  <c:v>6301</c:v>
                </c:pt>
                <c:pt idx="12">
                  <c:v>4922</c:v>
                </c:pt>
                <c:pt idx="13">
                  <c:v>4528</c:v>
                </c:pt>
                <c:pt idx="14">
                  <c:v>3708</c:v>
                </c:pt>
                <c:pt idx="15">
                  <c:v>3488</c:v>
                </c:pt>
                <c:pt idx="16">
                  <c:v>3886</c:v>
                </c:pt>
                <c:pt idx="17">
                  <c:v>4227</c:v>
                </c:pt>
                <c:pt idx="18">
                  <c:v>3989</c:v>
                </c:pt>
                <c:pt idx="19">
                  <c:v>2793</c:v>
                </c:pt>
                <c:pt idx="20">
                  <c:v>4364</c:v>
                </c:pt>
                <c:pt idx="21">
                  <c:v>4902</c:v>
                </c:pt>
                <c:pt idx="22">
                  <c:v>5494</c:v>
                </c:pt>
                <c:pt idx="23">
                  <c:v>6818</c:v>
                </c:pt>
                <c:pt idx="24">
                  <c:v>5229</c:v>
                </c:pt>
                <c:pt idx="25">
                  <c:v>5778</c:v>
                </c:pt>
              </c:numCache>
            </c:numRef>
          </c:val>
          <c:smooth val="0"/>
          <c:extLst xmlns:c16r2="http://schemas.microsoft.com/office/drawing/2015/06/chart">
            <c:ext xmlns:c16="http://schemas.microsoft.com/office/drawing/2014/chart" uri="{C3380CC4-5D6E-409C-BE32-E72D297353CC}">
              <c16:uniqueId val="{00000000-D401-437D-A069-6DFC999666E8}"/>
            </c:ext>
          </c:extLst>
        </c:ser>
        <c:dLbls>
          <c:showLegendKey val="0"/>
          <c:showVal val="0"/>
          <c:showCatName val="0"/>
          <c:showSerName val="0"/>
          <c:showPercent val="0"/>
          <c:showBubbleSize val="0"/>
        </c:dLbls>
        <c:marker val="1"/>
        <c:smooth val="0"/>
        <c:axId val="136221056"/>
        <c:axId val="136223360"/>
      </c:lineChart>
      <c:dateAx>
        <c:axId val="13622105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b="1">
                    <a:solidFill>
                      <a:sysClr val="windowText" lastClr="000000"/>
                    </a:solidFill>
                  </a:rPr>
                  <a:t>Week</a:t>
                </a:r>
                <a:r>
                  <a:rPr lang="en-US" b="1" baseline="0">
                    <a:solidFill>
                      <a:sysClr val="windowText" lastClr="000000"/>
                    </a:solidFill>
                  </a:rPr>
                  <a:t> Ending</a:t>
                </a:r>
                <a:endParaRPr lang="en-US" b="1">
                  <a:solidFill>
                    <a:sysClr val="windowText" lastClr="000000"/>
                  </a:solidFill>
                </a:endParaRPr>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6223360"/>
        <c:crosses val="autoZero"/>
        <c:auto val="1"/>
        <c:lblOffset val="100"/>
        <c:baseTimeUnit val="days"/>
      </c:dateAx>
      <c:valAx>
        <c:axId val="136223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62210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0.69337</cdr:x>
      <cdr:y>0.90997</cdr:y>
    </cdr:from>
    <cdr:to>
      <cdr:x>1</cdr:x>
      <cdr:y>0.99642</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4691270" y="2524539"/>
          <a:ext cx="2074655" cy="2398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564A-8C21-44EB-92E8-DEDFE634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3411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2020-07-02T13:43:00Z</dcterms:created>
  <dcterms:modified xsi:type="dcterms:W3CDTF">2020-07-02T13:43:00Z</dcterms:modified>
</cp:coreProperties>
</file>